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建德市2019年财政</w:t>
      </w: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决算情况</w:t>
      </w:r>
    </w:p>
    <w:p>
      <w:pPr>
        <w:spacing w:before="100" w:beforeAutospacing="1" w:after="100" w:afterAutospacing="1" w:line="360" w:lineRule="auto"/>
        <w:jc w:val="center"/>
        <w:rPr>
          <w:rFonts w:ascii="仿宋_GB2312" w:hAnsi="黑体"/>
          <w:b/>
          <w:bCs/>
          <w:szCs w:val="28"/>
        </w:rPr>
      </w:pPr>
      <w:r>
        <w:rPr>
          <w:rFonts w:hint="eastAsia" w:ascii="仿宋_GB2312" w:hAnsi="黑体"/>
          <w:b/>
          <w:bCs/>
          <w:szCs w:val="28"/>
        </w:rPr>
        <w:t>（编制单位：建德市财政局）</w:t>
      </w: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r>
        <w:rPr>
          <w:rFonts w:hint="eastAsia" w:ascii="仿宋_GB2312" w:hAnsi="宋体"/>
          <w:b/>
          <w:bCs/>
          <w:sz w:val="44"/>
          <w:szCs w:val="44"/>
        </w:rPr>
        <w:t>目    录</w:t>
      </w:r>
    </w:p>
    <w:p>
      <w:pPr>
        <w:spacing w:line="500" w:lineRule="exact"/>
        <w:rPr>
          <w:rFonts w:ascii="仿宋_GB2312" w:hAnsi="宋体"/>
          <w:szCs w:val="28"/>
        </w:rPr>
      </w:pPr>
      <w:r>
        <w:rPr>
          <w:rFonts w:hint="eastAsia" w:ascii="仿宋_GB2312" w:hAnsi="宋体"/>
          <w:szCs w:val="28"/>
        </w:rPr>
        <w:t>1.建德市2019年财政决算报告……………………………………（3）</w:t>
      </w:r>
    </w:p>
    <w:p>
      <w:pPr>
        <w:spacing w:line="500" w:lineRule="exact"/>
        <w:rPr>
          <w:rFonts w:ascii="仿宋_GB2312"/>
          <w:szCs w:val="28"/>
        </w:rPr>
      </w:pPr>
      <w:r>
        <w:rPr>
          <w:rFonts w:hint="eastAsia" w:ascii="仿宋_GB2312" w:hAnsi="宋体"/>
          <w:szCs w:val="28"/>
        </w:rPr>
        <w:t>2.2019年一般公共预算收入决算表…………………………… …（14）</w:t>
      </w:r>
    </w:p>
    <w:p>
      <w:pPr>
        <w:spacing w:line="500" w:lineRule="exact"/>
        <w:rPr>
          <w:rFonts w:ascii="仿宋_GB2312" w:hAnsi="宋体"/>
          <w:szCs w:val="28"/>
        </w:rPr>
      </w:pPr>
      <w:r>
        <w:rPr>
          <w:rFonts w:hint="eastAsia" w:ascii="仿宋_GB2312" w:hAnsi="宋体"/>
          <w:szCs w:val="28"/>
        </w:rPr>
        <w:t>3.2019年一般公共预算支出决算明细表……………………… …（16）</w:t>
      </w:r>
    </w:p>
    <w:p>
      <w:pPr>
        <w:spacing w:line="500" w:lineRule="exact"/>
        <w:rPr>
          <w:rFonts w:ascii="仿宋_GB2312" w:hAnsi="宋体"/>
          <w:szCs w:val="28"/>
        </w:rPr>
      </w:pPr>
      <w:r>
        <w:rPr>
          <w:rFonts w:hint="eastAsia" w:ascii="仿宋_GB2312" w:hAnsi="宋体"/>
          <w:szCs w:val="28"/>
        </w:rPr>
        <w:t>4.2019年一般公共预算本级支出决算表……………………… …（</w:t>
      </w:r>
      <w:r>
        <w:rPr>
          <w:rFonts w:hint="eastAsia" w:ascii="仿宋_GB2312" w:hAnsi="宋体"/>
          <w:szCs w:val="28"/>
          <w:lang w:val="en-US" w:eastAsia="zh-CN"/>
        </w:rPr>
        <w:t>31</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5.2019年一般公共预算市本级基本支出决算表……………… …（</w:t>
      </w:r>
      <w:r>
        <w:rPr>
          <w:rFonts w:hint="eastAsia" w:ascii="仿宋_GB2312" w:hAnsi="宋体"/>
          <w:szCs w:val="28"/>
          <w:lang w:val="en-US" w:eastAsia="zh-CN"/>
        </w:rPr>
        <w:t>45</w:t>
      </w:r>
      <w:r>
        <w:rPr>
          <w:rFonts w:hint="eastAsia" w:ascii="仿宋_GB2312" w:hAnsi="宋体"/>
          <w:szCs w:val="28"/>
        </w:rPr>
        <w:t>）</w:t>
      </w:r>
    </w:p>
    <w:p>
      <w:pPr>
        <w:spacing w:line="500" w:lineRule="exact"/>
        <w:rPr>
          <w:rFonts w:ascii="仿宋_GB2312"/>
          <w:szCs w:val="28"/>
        </w:rPr>
      </w:pPr>
      <w:r>
        <w:rPr>
          <w:rFonts w:hint="eastAsia" w:ascii="仿宋_GB2312" w:hAnsi="宋体"/>
          <w:szCs w:val="28"/>
        </w:rPr>
        <w:t>6.2019年一般公共预算税收返还和转移支付决算表………… …（</w:t>
      </w:r>
      <w:r>
        <w:rPr>
          <w:rFonts w:hint="eastAsia" w:ascii="仿宋_GB2312" w:hAnsi="宋体"/>
          <w:szCs w:val="28"/>
          <w:lang w:val="en-US" w:eastAsia="zh-CN"/>
        </w:rPr>
        <w:t>47</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7.建德市地方政府一般债务限额和余额情况表……………… …（</w:t>
      </w:r>
      <w:r>
        <w:rPr>
          <w:rFonts w:hint="eastAsia" w:ascii="仿宋_GB2312" w:hAnsi="宋体"/>
          <w:szCs w:val="28"/>
          <w:lang w:val="en-US" w:eastAsia="zh-CN"/>
        </w:rPr>
        <w:t>51</w:t>
      </w:r>
      <w:r>
        <w:rPr>
          <w:rFonts w:hint="eastAsia" w:ascii="仿宋_GB2312" w:hAnsi="宋体"/>
          <w:szCs w:val="28"/>
        </w:rPr>
        <w:t>）</w:t>
      </w:r>
    </w:p>
    <w:p>
      <w:pPr>
        <w:spacing w:line="500" w:lineRule="exact"/>
        <w:rPr>
          <w:rFonts w:ascii="仿宋_GB2312"/>
          <w:szCs w:val="28"/>
        </w:rPr>
      </w:pPr>
      <w:r>
        <w:rPr>
          <w:rFonts w:hint="eastAsia" w:ascii="仿宋_GB2312" w:hAnsi="宋体"/>
          <w:szCs w:val="28"/>
        </w:rPr>
        <w:t>8.2019年政府性基金收入决算情况表………………………… …（</w:t>
      </w:r>
      <w:r>
        <w:rPr>
          <w:rFonts w:hint="eastAsia" w:ascii="仿宋_GB2312" w:hAnsi="宋体"/>
          <w:szCs w:val="28"/>
          <w:lang w:val="en-US" w:eastAsia="zh-CN"/>
        </w:rPr>
        <w:t>52</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9.2019年政府性基金支出决算情况表……………………… ……（</w:t>
      </w:r>
      <w:r>
        <w:rPr>
          <w:rFonts w:hint="eastAsia" w:ascii="仿宋_GB2312" w:hAnsi="宋体"/>
          <w:szCs w:val="28"/>
          <w:lang w:val="en-US" w:eastAsia="zh-CN"/>
        </w:rPr>
        <w:t>53</w:t>
      </w:r>
      <w:r>
        <w:rPr>
          <w:rFonts w:hint="eastAsia" w:ascii="仿宋_GB2312" w:hAnsi="宋体"/>
          <w:szCs w:val="28"/>
        </w:rPr>
        <w:t>）</w:t>
      </w:r>
    </w:p>
    <w:p>
      <w:pPr>
        <w:spacing w:line="500" w:lineRule="exact"/>
        <w:rPr>
          <w:rFonts w:ascii="仿宋_GB2312"/>
          <w:szCs w:val="28"/>
        </w:rPr>
      </w:pPr>
      <w:r>
        <w:rPr>
          <w:rFonts w:hint="eastAsia" w:ascii="仿宋_GB2312" w:hAnsi="宋体"/>
          <w:szCs w:val="28"/>
        </w:rPr>
        <w:t>10.2019年政府性基金转移支付决算表……………………………（</w:t>
      </w:r>
      <w:r>
        <w:rPr>
          <w:rFonts w:hint="eastAsia" w:ascii="仿宋_GB2312" w:hAnsi="宋体"/>
          <w:szCs w:val="28"/>
          <w:lang w:val="en-US" w:eastAsia="zh-CN"/>
        </w:rPr>
        <w:t>55</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11.建德市地方政府专项债务限额和余额情况表…………………（</w:t>
      </w:r>
      <w:r>
        <w:rPr>
          <w:rFonts w:hint="eastAsia" w:ascii="仿宋_GB2312" w:hAnsi="宋体"/>
          <w:szCs w:val="28"/>
          <w:lang w:val="en-US" w:eastAsia="zh-CN"/>
        </w:rPr>
        <w:t>56</w:t>
      </w:r>
      <w:r>
        <w:rPr>
          <w:rFonts w:hint="eastAsia" w:ascii="仿宋_GB2312" w:hAnsi="宋体"/>
          <w:szCs w:val="28"/>
        </w:rPr>
        <w:t>）</w:t>
      </w:r>
    </w:p>
    <w:p>
      <w:pPr>
        <w:spacing w:line="500" w:lineRule="exact"/>
        <w:rPr>
          <w:rFonts w:ascii="仿宋_GB2312"/>
          <w:szCs w:val="28"/>
        </w:rPr>
      </w:pPr>
      <w:r>
        <w:rPr>
          <w:rFonts w:hint="eastAsia" w:ascii="仿宋_GB2312" w:hAnsi="宋体"/>
          <w:szCs w:val="28"/>
        </w:rPr>
        <w:t>12.2019年国有资本经营预算收入决算表…………………………（</w:t>
      </w:r>
      <w:r>
        <w:rPr>
          <w:rFonts w:hint="eastAsia" w:ascii="仿宋_GB2312" w:hAnsi="宋体"/>
          <w:szCs w:val="28"/>
          <w:lang w:val="en-US" w:eastAsia="zh-CN"/>
        </w:rPr>
        <w:t>57</w:t>
      </w:r>
      <w:r>
        <w:rPr>
          <w:rFonts w:hint="eastAsia" w:ascii="仿宋_GB2312" w:hAnsi="宋体"/>
          <w:szCs w:val="28"/>
        </w:rPr>
        <w:t>）</w:t>
      </w:r>
    </w:p>
    <w:p>
      <w:pPr>
        <w:spacing w:line="500" w:lineRule="exact"/>
        <w:rPr>
          <w:rFonts w:ascii="仿宋_GB2312"/>
          <w:szCs w:val="28"/>
        </w:rPr>
      </w:pPr>
      <w:r>
        <w:rPr>
          <w:rFonts w:hint="eastAsia" w:ascii="仿宋_GB2312" w:hAnsi="宋体"/>
          <w:szCs w:val="28"/>
        </w:rPr>
        <w:t>13.2019年国有资本经营预算支出决算表…………………………（</w:t>
      </w:r>
      <w:r>
        <w:rPr>
          <w:rFonts w:hint="eastAsia" w:ascii="仿宋_GB2312" w:hAnsi="宋体"/>
          <w:szCs w:val="28"/>
          <w:lang w:val="en-US" w:eastAsia="zh-CN"/>
        </w:rPr>
        <w:t>58</w:t>
      </w:r>
      <w:r>
        <w:rPr>
          <w:rFonts w:hint="eastAsia" w:ascii="仿宋_GB2312" w:hAnsi="宋体"/>
          <w:szCs w:val="28"/>
        </w:rPr>
        <w:t>）</w:t>
      </w:r>
    </w:p>
    <w:p>
      <w:pPr>
        <w:spacing w:line="500" w:lineRule="exact"/>
        <w:rPr>
          <w:rFonts w:ascii="仿宋_GB2312"/>
          <w:szCs w:val="28"/>
        </w:rPr>
      </w:pPr>
      <w:r>
        <w:rPr>
          <w:rFonts w:hint="eastAsia" w:ascii="仿宋_GB2312" w:hAnsi="宋体"/>
          <w:szCs w:val="28"/>
        </w:rPr>
        <w:t>14.2019年国有资本经营转移支付决算表…………………………（</w:t>
      </w:r>
      <w:r>
        <w:rPr>
          <w:rFonts w:hint="eastAsia" w:ascii="仿宋_GB2312" w:hAnsi="宋体"/>
          <w:szCs w:val="28"/>
          <w:lang w:val="en-US" w:eastAsia="zh-CN"/>
        </w:rPr>
        <w:t>59</w:t>
      </w:r>
      <w:r>
        <w:rPr>
          <w:rFonts w:hint="eastAsia" w:ascii="仿宋_GB2312" w:hAnsi="宋体"/>
          <w:szCs w:val="28"/>
        </w:rPr>
        <w:t>）</w:t>
      </w:r>
    </w:p>
    <w:p>
      <w:pPr>
        <w:spacing w:line="500" w:lineRule="exact"/>
        <w:rPr>
          <w:rFonts w:ascii="仿宋_GB2312"/>
          <w:szCs w:val="28"/>
        </w:rPr>
      </w:pPr>
      <w:r>
        <w:rPr>
          <w:rFonts w:hint="eastAsia" w:ascii="仿宋_GB2312" w:hAnsi="宋体"/>
          <w:szCs w:val="28"/>
        </w:rPr>
        <w:t>15.2019年社会保险基金收入决算表………………………………（</w:t>
      </w:r>
      <w:r>
        <w:rPr>
          <w:rFonts w:hint="eastAsia" w:ascii="仿宋_GB2312" w:hAnsi="宋体"/>
          <w:szCs w:val="28"/>
          <w:lang w:val="en-US" w:eastAsia="zh-CN"/>
        </w:rPr>
        <w:t>60</w:t>
      </w:r>
      <w:r>
        <w:rPr>
          <w:rFonts w:hint="eastAsia" w:ascii="仿宋_GB2312" w:hAnsi="宋体"/>
          <w:szCs w:val="28"/>
        </w:rPr>
        <w:t>）</w:t>
      </w:r>
    </w:p>
    <w:p>
      <w:pPr>
        <w:spacing w:line="500" w:lineRule="exact"/>
        <w:rPr>
          <w:rFonts w:ascii="仿宋_GB2312"/>
          <w:szCs w:val="28"/>
        </w:rPr>
      </w:pPr>
      <w:r>
        <w:rPr>
          <w:rFonts w:hint="eastAsia" w:ascii="仿宋_GB2312" w:hAnsi="宋体"/>
          <w:szCs w:val="28"/>
        </w:rPr>
        <w:t>16.2019年社会保险基金支出决算表………………………………（</w:t>
      </w:r>
      <w:r>
        <w:rPr>
          <w:rFonts w:hint="eastAsia" w:ascii="仿宋_GB2312" w:hAnsi="宋体"/>
          <w:szCs w:val="28"/>
          <w:lang w:val="en-US" w:eastAsia="zh-CN"/>
        </w:rPr>
        <w:t>61</w:t>
      </w:r>
      <w:r>
        <w:rPr>
          <w:rFonts w:hint="eastAsia" w:ascii="仿宋_GB2312" w:hAnsi="宋体"/>
          <w:szCs w:val="28"/>
        </w:rPr>
        <w:t>）</w:t>
      </w:r>
    </w:p>
    <w:p>
      <w:pPr>
        <w:numPr>
          <w:ilvl w:val="0"/>
          <w:numId w:val="0"/>
        </w:numPr>
        <w:spacing w:line="500" w:lineRule="exact"/>
        <w:rPr>
          <w:rFonts w:ascii="仿宋_GB2312" w:hAnsi="宋体"/>
          <w:szCs w:val="28"/>
        </w:rPr>
      </w:pPr>
      <w:r>
        <w:rPr>
          <w:rFonts w:hint="eastAsia" w:ascii="仿宋_GB2312" w:hAnsi="宋体"/>
          <w:szCs w:val="28"/>
          <w:lang w:val="en-US" w:eastAsia="zh-CN"/>
        </w:rPr>
        <w:t>17.</w:t>
      </w:r>
      <w:r>
        <w:rPr>
          <w:rFonts w:hint="eastAsia" w:ascii="仿宋_GB2312" w:hAnsi="宋体"/>
          <w:szCs w:val="28"/>
        </w:rPr>
        <w:t>建德市2019年“三公”经费决算表…………………………（</w:t>
      </w:r>
      <w:r>
        <w:rPr>
          <w:rFonts w:hint="eastAsia" w:ascii="仿宋_GB2312" w:hAnsi="宋体"/>
          <w:szCs w:val="28"/>
          <w:lang w:val="en-US" w:eastAsia="zh-CN"/>
        </w:rPr>
        <w:t>62</w:t>
      </w:r>
      <w:r>
        <w:rPr>
          <w:rFonts w:hint="eastAsia" w:ascii="仿宋_GB2312" w:hAnsi="宋体"/>
          <w:szCs w:val="28"/>
        </w:rPr>
        <w:t>）</w:t>
      </w:r>
    </w:p>
    <w:p>
      <w:pPr>
        <w:numPr>
          <w:ilvl w:val="0"/>
          <w:numId w:val="1"/>
        </w:numPr>
        <w:spacing w:line="500" w:lineRule="exact"/>
        <w:rPr>
          <w:rFonts w:ascii="仿宋_GB2312" w:hAnsi="宋体"/>
          <w:szCs w:val="28"/>
        </w:rPr>
      </w:pPr>
      <w:r>
        <w:rPr>
          <w:rFonts w:hint="eastAsia" w:ascii="仿宋_GB2312" w:hAnsi="宋体"/>
          <w:szCs w:val="28"/>
        </w:rPr>
        <w:t>建德市2019年“三公”经费决算执行情况说明……… ………（</w:t>
      </w:r>
      <w:r>
        <w:rPr>
          <w:rFonts w:hint="eastAsia" w:ascii="仿宋_GB2312" w:hAnsi="宋体"/>
          <w:szCs w:val="28"/>
          <w:lang w:val="en-US" w:eastAsia="zh-CN"/>
        </w:rPr>
        <w:t>63</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19.</w:t>
      </w:r>
      <w:r>
        <w:rPr>
          <w:rFonts w:hint="eastAsia" w:ascii="仿宋_GB2312" w:hAnsi="宋体"/>
          <w:szCs w:val="28"/>
        </w:rPr>
        <w:t>建德市2019年转移支付执行情况说明………………………（</w:t>
      </w:r>
      <w:r>
        <w:rPr>
          <w:rFonts w:hint="eastAsia" w:ascii="仿宋_GB2312" w:hAnsi="宋体"/>
          <w:szCs w:val="28"/>
          <w:lang w:val="en-US" w:eastAsia="zh-CN"/>
        </w:rPr>
        <w:t>64</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20.</w:t>
      </w:r>
      <w:r>
        <w:rPr>
          <w:rFonts w:hint="eastAsia" w:ascii="仿宋_GB2312" w:hAnsi="宋体"/>
          <w:szCs w:val="28"/>
        </w:rPr>
        <w:t>建德市2019年预算绩效工作开展情况说明…………………（</w:t>
      </w:r>
      <w:r>
        <w:rPr>
          <w:rFonts w:hint="eastAsia" w:ascii="仿宋_GB2312" w:hAnsi="宋体"/>
          <w:szCs w:val="28"/>
          <w:lang w:val="en-US" w:eastAsia="zh-CN"/>
        </w:rPr>
        <w:t>65</w:t>
      </w:r>
      <w:r>
        <w:rPr>
          <w:rFonts w:hint="eastAsia" w:ascii="仿宋_GB2312" w:hAnsi="宋体"/>
          <w:szCs w:val="28"/>
        </w:rPr>
        <w:t>）</w:t>
      </w:r>
    </w:p>
    <w:p>
      <w:pPr>
        <w:spacing w:line="500" w:lineRule="exact"/>
        <w:rPr>
          <w:rFonts w:ascii="仿宋_GB2312"/>
          <w:szCs w:val="28"/>
        </w:rPr>
      </w:pPr>
      <w:r>
        <w:rPr>
          <w:rFonts w:hint="eastAsia" w:ascii="仿宋_GB2312" w:hAnsi="宋体"/>
          <w:szCs w:val="28"/>
          <w:lang w:val="en-US" w:eastAsia="zh-CN"/>
        </w:rPr>
        <w:t>21.</w:t>
      </w:r>
      <w:r>
        <w:rPr>
          <w:rFonts w:hint="eastAsia" w:ascii="仿宋_GB2312" w:hAnsi="宋体"/>
          <w:szCs w:val="28"/>
        </w:rPr>
        <w:t>财政决算相关说明及名词解释………………………… ……（</w:t>
      </w:r>
      <w:r>
        <w:rPr>
          <w:rFonts w:hint="eastAsia" w:ascii="仿宋_GB2312" w:hAnsi="宋体"/>
          <w:szCs w:val="28"/>
          <w:lang w:val="en-US" w:eastAsia="zh-CN"/>
        </w:rPr>
        <w:t>67</w:t>
      </w:r>
      <w:r>
        <w:rPr>
          <w:rFonts w:hint="eastAsia" w:ascii="仿宋_GB2312" w:hAnsi="宋体"/>
          <w:szCs w:val="28"/>
        </w:rPr>
        <w:t>）</w:t>
      </w:r>
    </w:p>
    <w:p/>
    <w:p/>
    <w:p/>
    <w:p>
      <w:pPr>
        <w:pStyle w:val="2"/>
      </w:pPr>
    </w:p>
    <w:p>
      <w:pPr>
        <w:widowControl/>
        <w:overflowPunct w:val="0"/>
        <w:autoSpaceDE w:val="0"/>
        <w:autoSpaceDN w:val="0"/>
        <w:adjustRightInd w:val="0"/>
        <w:snapToGrid w:val="0"/>
        <w:spacing w:line="520" w:lineRule="exact"/>
        <w:jc w:val="center"/>
        <w:textAlignment w:val="baseline"/>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关于建德市2019年财政决算草案和2020年</w:t>
      </w:r>
    </w:p>
    <w:p>
      <w:pPr>
        <w:widowControl/>
        <w:overflowPunct w:val="0"/>
        <w:autoSpaceDE w:val="0"/>
        <w:autoSpaceDN w:val="0"/>
        <w:adjustRightInd w:val="0"/>
        <w:snapToGrid w:val="0"/>
        <w:spacing w:line="520" w:lineRule="exact"/>
        <w:jc w:val="center"/>
        <w:textAlignment w:val="baseline"/>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上半年预算执行情况的报告</w:t>
      </w:r>
    </w:p>
    <w:p>
      <w:pPr>
        <w:spacing w:beforeLines="50" w:line="560" w:lineRule="exact"/>
        <w:jc w:val="center"/>
        <w:textAlignment w:val="baseline"/>
        <w:rPr>
          <w:rFonts w:eastAsia="楷体_GB2312"/>
          <w:b/>
          <w:bCs/>
          <w:sz w:val="30"/>
          <w:szCs w:val="30"/>
        </w:rPr>
      </w:pPr>
      <w:r>
        <w:rPr>
          <w:rFonts w:eastAsia="楷体_GB2312"/>
          <w:b/>
          <w:bCs/>
          <w:sz w:val="30"/>
          <w:szCs w:val="30"/>
        </w:rPr>
        <w:t>（2020年7月24日在市十六届人大常委会第33次会议上）</w:t>
      </w:r>
    </w:p>
    <w:p>
      <w:pPr>
        <w:spacing w:beforeLines="50" w:line="560" w:lineRule="exact"/>
        <w:jc w:val="center"/>
        <w:textAlignment w:val="baseline"/>
        <w:rPr>
          <w:rFonts w:eastAsia="楷体_GB2312"/>
          <w:b/>
          <w:bCs/>
          <w:sz w:val="30"/>
          <w:szCs w:val="30"/>
        </w:rPr>
      </w:pPr>
      <w:r>
        <w:rPr>
          <w:rFonts w:eastAsia="楷体_GB2312"/>
          <w:b/>
          <w:bCs/>
          <w:sz w:val="30"/>
          <w:szCs w:val="30"/>
        </w:rPr>
        <w:t>建德市财政局局长　陈刚</w:t>
      </w:r>
    </w:p>
    <w:p>
      <w:pPr>
        <w:overflowPunct w:val="0"/>
        <w:autoSpaceDE w:val="0"/>
        <w:autoSpaceDN w:val="0"/>
        <w:adjustRightInd w:val="0"/>
        <w:spacing w:line="520" w:lineRule="exact"/>
        <w:textAlignment w:val="baseline"/>
        <w:rPr>
          <w:color w:val="FF0000"/>
          <w:kern w:val="0"/>
          <w:sz w:val="30"/>
          <w:szCs w:val="30"/>
        </w:rPr>
      </w:pPr>
    </w:p>
    <w:p>
      <w:pPr>
        <w:overflowPunct w:val="0"/>
        <w:autoSpaceDE w:val="0"/>
        <w:autoSpaceDN w:val="0"/>
        <w:adjustRightInd w:val="0"/>
        <w:spacing w:line="520" w:lineRule="exact"/>
        <w:textAlignment w:val="baseline"/>
        <w:rPr>
          <w:b/>
          <w:kern w:val="0"/>
          <w:sz w:val="32"/>
          <w:szCs w:val="32"/>
        </w:rPr>
      </w:pPr>
      <w:r>
        <w:rPr>
          <w:b/>
          <w:kern w:val="0"/>
          <w:sz w:val="32"/>
          <w:szCs w:val="32"/>
        </w:rPr>
        <w:t>主任、副主任、各位委员：</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市十六届人大四次会议审查批准了《关于建德市2019年财政预算执行情况和2020年财政预算草案的报告》。现在，2019年全市财政决算已报经浙江省财政厅审核通过。我受市人民政府委托，向市人大常委会报告全市2019年财政决算草案和2020年上半年财政预算执行情况，请予以审议。</w:t>
      </w:r>
    </w:p>
    <w:p>
      <w:pPr>
        <w:overflowPunct w:val="0"/>
        <w:autoSpaceDE w:val="0"/>
        <w:autoSpaceDN w:val="0"/>
        <w:adjustRightInd w:val="0"/>
        <w:spacing w:line="520" w:lineRule="exact"/>
        <w:ind w:firstLine="640" w:firstLineChars="200"/>
        <w:textAlignment w:val="baseline"/>
        <w:rPr>
          <w:rFonts w:ascii="黑体" w:hAnsi="黑体" w:eastAsia="黑体" w:cs="黑体"/>
          <w:bCs/>
          <w:kern w:val="0"/>
          <w:sz w:val="32"/>
          <w:szCs w:val="32"/>
        </w:rPr>
      </w:pPr>
      <w:r>
        <w:rPr>
          <w:rFonts w:hint="eastAsia" w:ascii="黑体" w:hAnsi="黑体" w:eastAsia="黑体" w:cs="黑体"/>
          <w:bCs/>
          <w:kern w:val="0"/>
          <w:sz w:val="32"/>
          <w:szCs w:val="32"/>
        </w:rPr>
        <w:t>一、2019年财政决算情况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2019年，面对复杂严峻的经济形势和减税降费多重压力，全市财政工作在市委的正确领导下，在市人大的有力监督和政协的大力支持下</w:t>
      </w:r>
      <w:r>
        <w:rPr>
          <w:rFonts w:hint="eastAsia"/>
          <w:kern w:val="0"/>
          <w:sz w:val="32"/>
          <w:szCs w:val="32"/>
        </w:rPr>
        <w:t>，</w:t>
      </w:r>
      <w:r>
        <w:rPr>
          <w:kern w:val="0"/>
          <w:sz w:val="32"/>
          <w:szCs w:val="32"/>
        </w:rPr>
        <w:t>在市级各部门、乡镇街道、国有公司和社会各界的积极配合和关心理解下，以习近平新时代中国特色社会主义思想为指导，牢牢把握稳中求进工作总基调，紧紧围绕加快建德新崛起这一总目标，深化财税体制改革，提高财政管理水平，切实发挥财政在全市经济社会发展中的支柱作用，各项工作呈现高质量发展的良好态势。</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（一）一般公共预算</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1.市本级财政情况</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预算情况</w:t>
      </w:r>
      <w:r>
        <w:rPr>
          <w:rFonts w:hint="eastAsia"/>
          <w:b/>
          <w:bCs/>
          <w:kern w:val="0"/>
          <w:sz w:val="32"/>
          <w:szCs w:val="32"/>
        </w:rPr>
        <w:t>。</w:t>
      </w:r>
      <w:r>
        <w:rPr>
          <w:kern w:val="0"/>
          <w:sz w:val="32"/>
          <w:szCs w:val="32"/>
        </w:rPr>
        <w:t>市十六届人大三次会议批准的2019年市本级一般公共预算收入为203543万元，支出为343468万元。经市十六届人大常委会第二十七次会议批准，当年市本级一般公共预算收入调整为201257万元，支出调整为382968万元。</w:t>
      </w:r>
    </w:p>
    <w:p>
      <w:pPr>
        <w:overflowPunct w:val="0"/>
        <w:autoSpaceDE w:val="0"/>
        <w:autoSpaceDN w:val="0"/>
        <w:adjustRightInd w:val="0"/>
        <w:spacing w:line="520" w:lineRule="exact"/>
        <w:ind w:firstLine="643" w:firstLineChars="200"/>
        <w:textAlignment w:val="baseline"/>
        <w:rPr>
          <w:b/>
          <w:kern w:val="0"/>
          <w:sz w:val="32"/>
          <w:szCs w:val="32"/>
        </w:rPr>
      </w:pPr>
      <w:r>
        <w:rPr>
          <w:b/>
          <w:bCs/>
          <w:kern w:val="0"/>
          <w:sz w:val="32"/>
          <w:szCs w:val="32"/>
        </w:rPr>
        <w:t>决算情况。</w:t>
      </w:r>
      <w:r>
        <w:rPr>
          <w:b/>
          <w:kern w:val="0"/>
          <w:sz w:val="32"/>
          <w:szCs w:val="32"/>
        </w:rPr>
        <w:t>按照现行财政体制结算，市本级一般公共预算收入合计</w:t>
      </w:r>
      <w:r>
        <w:rPr>
          <w:b/>
          <w:bCs/>
          <w:kern w:val="0"/>
          <w:sz w:val="32"/>
          <w:szCs w:val="32"/>
        </w:rPr>
        <w:t>735425</w:t>
      </w:r>
      <w:r>
        <w:rPr>
          <w:b/>
          <w:kern w:val="0"/>
          <w:sz w:val="32"/>
          <w:szCs w:val="32"/>
        </w:rPr>
        <w:t>万元，其中：</w:t>
      </w:r>
      <w:r>
        <w:rPr>
          <w:kern w:val="0"/>
          <w:sz w:val="32"/>
          <w:szCs w:val="32"/>
        </w:rPr>
        <w:t>市本级一般公共预算决算收入197312万元（</w:t>
      </w:r>
      <w:r>
        <w:rPr>
          <w:bCs/>
          <w:kern w:val="0"/>
          <w:sz w:val="32"/>
          <w:szCs w:val="32"/>
        </w:rPr>
        <w:t>完成预算的98%，比上年增长7.9%</w:t>
      </w:r>
      <w:r>
        <w:rPr>
          <w:rFonts w:hint="eastAsia"/>
          <w:bCs/>
          <w:kern w:val="0"/>
          <w:sz w:val="32"/>
          <w:szCs w:val="32"/>
          <w:lang w:eastAsia="zh-CN"/>
        </w:rPr>
        <w:t>，</w:t>
      </w:r>
      <w:r>
        <w:rPr>
          <w:bCs/>
          <w:kern w:val="0"/>
          <w:sz w:val="32"/>
          <w:szCs w:val="32"/>
        </w:rPr>
        <w:t>分项收入情况见表1</w:t>
      </w:r>
      <w:r>
        <w:rPr>
          <w:kern w:val="0"/>
          <w:sz w:val="32"/>
          <w:szCs w:val="32"/>
        </w:rPr>
        <w:t>）、中央税收返还收入20183万元、省体制结算及杭州市补助170096万元、省专项补助57883万元、动用预算稳定调节基金15000万元、调入资金56698万元、乡镇(街道)上解收入59383万元、债务转贷收入118000万元、上年结转40870万元。</w:t>
      </w:r>
      <w:r>
        <w:rPr>
          <w:b/>
          <w:kern w:val="0"/>
          <w:sz w:val="32"/>
          <w:szCs w:val="32"/>
        </w:rPr>
        <w:t>市本级一般公共预算支出合计</w:t>
      </w:r>
      <w:r>
        <w:rPr>
          <w:b/>
          <w:bCs/>
          <w:kern w:val="0"/>
          <w:sz w:val="32"/>
          <w:szCs w:val="32"/>
        </w:rPr>
        <w:t>735425</w:t>
      </w:r>
      <w:r>
        <w:rPr>
          <w:b/>
          <w:kern w:val="0"/>
          <w:sz w:val="32"/>
          <w:szCs w:val="32"/>
        </w:rPr>
        <w:t>万元，其中：</w:t>
      </w:r>
      <w:r>
        <w:rPr>
          <w:kern w:val="0"/>
          <w:sz w:val="32"/>
          <w:szCs w:val="32"/>
        </w:rPr>
        <w:t>2019年市本级一般公共预算支出447889万元（为年度可执行指标的93.9%，分项支出情况见表2）、补助乡镇（街道）支出43511万元、上解省支出77698万元、债务还本支出119054万元、安排预算稳定调节基金18130万元、累计结转下年29143万元。</w:t>
      </w:r>
      <w:r>
        <w:rPr>
          <w:b/>
          <w:bCs/>
          <w:kern w:val="0"/>
          <w:sz w:val="32"/>
          <w:szCs w:val="32"/>
        </w:rPr>
        <w:t>收支相抵，市本级</w:t>
      </w:r>
      <w:r>
        <w:rPr>
          <w:b/>
          <w:kern w:val="0"/>
          <w:sz w:val="32"/>
          <w:szCs w:val="32"/>
        </w:rPr>
        <w:t>一般公共预算收支平衡。</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2.全市财政情况</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预算情况。</w:t>
      </w:r>
      <w:r>
        <w:rPr>
          <w:kern w:val="0"/>
          <w:sz w:val="32"/>
          <w:szCs w:val="32"/>
        </w:rPr>
        <w:t>市十六届人大三次会议批准的2019年全市一般公共预算收入为311000万元，支出为397600万元。经市十六届人大常委会第二十七次会议批准，当年全市一般公共预算支出调整为441100万元。</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决算情况。</w:t>
      </w:r>
      <w:r>
        <w:rPr>
          <w:b/>
          <w:kern w:val="0"/>
          <w:sz w:val="32"/>
          <w:szCs w:val="32"/>
        </w:rPr>
        <w:t>按照现行财政体制结算，全市一般公共预算收入合计802034万元</w:t>
      </w:r>
      <w:r>
        <w:rPr>
          <w:bCs/>
          <w:kern w:val="0"/>
          <w:sz w:val="32"/>
          <w:szCs w:val="32"/>
        </w:rPr>
        <w:t>，</w:t>
      </w:r>
      <w:r>
        <w:rPr>
          <w:b/>
          <w:kern w:val="0"/>
          <w:sz w:val="32"/>
          <w:szCs w:val="32"/>
        </w:rPr>
        <w:t>其中：</w:t>
      </w:r>
      <w:r>
        <w:rPr>
          <w:kern w:val="0"/>
          <w:sz w:val="32"/>
          <w:szCs w:val="32"/>
        </w:rPr>
        <w:t>2019年全市一般公共预算收入311008万元（完成预算的100%，比上年增长10%，</w:t>
      </w:r>
      <w:r>
        <w:rPr>
          <w:bCs/>
          <w:kern w:val="0"/>
          <w:sz w:val="32"/>
          <w:szCs w:val="32"/>
        </w:rPr>
        <w:t>分项支出情况见表1</w:t>
      </w:r>
      <w:r>
        <w:rPr>
          <w:kern w:val="0"/>
          <w:sz w:val="32"/>
          <w:szCs w:val="32"/>
        </w:rPr>
        <w:t>）、中央税收返还收入20183万元、省体制结算及杭州市补助170096万元、省专项补助57883万元、动用预算稳定调节基金15000万元、调入资金56698万元、债务转贷收入118000万元、上年结余53166万元</w:t>
      </w:r>
      <w:r>
        <w:rPr>
          <w:b/>
          <w:kern w:val="0"/>
          <w:sz w:val="32"/>
          <w:szCs w:val="32"/>
        </w:rPr>
        <w:t>。全市一般公共预算支出合计802034万元</w:t>
      </w:r>
      <w:r>
        <w:rPr>
          <w:kern w:val="0"/>
          <w:sz w:val="32"/>
          <w:szCs w:val="32"/>
        </w:rPr>
        <w:t>，</w:t>
      </w:r>
      <w:r>
        <w:rPr>
          <w:b/>
          <w:kern w:val="0"/>
          <w:sz w:val="32"/>
          <w:szCs w:val="32"/>
        </w:rPr>
        <w:t>其中：</w:t>
      </w:r>
      <w:r>
        <w:rPr>
          <w:kern w:val="0"/>
          <w:sz w:val="32"/>
          <w:szCs w:val="32"/>
        </w:rPr>
        <w:t>2019年全市一般公共预算支出541505万元（为年度可执行指标的92.2%，比上年增长13.5%，分项支出情况见表2）、上解省支出77698万元、债务还本支出119054万元、安排预算稳定调节基金18130万元、累计结转下年45647万元等转移性支出。</w:t>
      </w:r>
      <w:r>
        <w:rPr>
          <w:b/>
          <w:bCs/>
          <w:kern w:val="0"/>
          <w:sz w:val="32"/>
          <w:szCs w:val="32"/>
        </w:rPr>
        <w:t>收支相抵，全</w:t>
      </w:r>
      <w:r>
        <w:rPr>
          <w:b/>
          <w:kern w:val="0"/>
          <w:sz w:val="32"/>
          <w:szCs w:val="32"/>
        </w:rPr>
        <w:t>市一般公共预算收支平衡。</w:t>
      </w:r>
    </w:p>
    <w:p>
      <w:pPr>
        <w:overflowPunct w:val="0"/>
        <w:autoSpaceDE w:val="0"/>
        <w:autoSpaceDN w:val="0"/>
        <w:adjustRightInd w:val="0"/>
        <w:spacing w:line="520" w:lineRule="exact"/>
        <w:ind w:firstLine="640" w:firstLineChars="200"/>
        <w:textAlignment w:val="baseline"/>
        <w:rPr>
          <w:sz w:val="32"/>
          <w:szCs w:val="32"/>
        </w:rPr>
      </w:pPr>
      <w:r>
        <w:rPr>
          <w:kern w:val="0"/>
          <w:sz w:val="32"/>
          <w:szCs w:val="32"/>
        </w:rPr>
        <w:t>2019年政府预备费年初预算1000万元，年度执行过程中，安排项目支出1000万元。主要用于重大动物疫情扑杀补助。</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（二）政府性基金预算</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预算情况。</w:t>
      </w:r>
      <w:r>
        <w:rPr>
          <w:kern w:val="0"/>
          <w:sz w:val="32"/>
          <w:szCs w:val="32"/>
        </w:rPr>
        <w:t>市十六届人大三次会议批准的2019年全市政府性基金收支预算为293000万元。经市十六届人大常委会第二十七次会议批准，当年全市政府性基金收入预算调整为328600万元，支出调整为428600万元。</w:t>
      </w:r>
    </w:p>
    <w:p>
      <w:pPr>
        <w:overflowPunct w:val="0"/>
        <w:autoSpaceDE w:val="0"/>
        <w:autoSpaceDN w:val="0"/>
        <w:adjustRightInd w:val="0"/>
        <w:spacing w:line="520" w:lineRule="exact"/>
        <w:ind w:firstLine="643" w:firstLineChars="200"/>
        <w:textAlignment w:val="baseline"/>
        <w:rPr>
          <w:sz w:val="32"/>
          <w:szCs w:val="32"/>
        </w:rPr>
      </w:pPr>
      <w:r>
        <w:rPr>
          <w:b/>
          <w:bCs/>
          <w:kern w:val="0"/>
          <w:sz w:val="32"/>
          <w:szCs w:val="32"/>
        </w:rPr>
        <w:t>决算情况。</w:t>
      </w:r>
      <w:r>
        <w:rPr>
          <w:b/>
          <w:kern w:val="0"/>
          <w:sz w:val="32"/>
          <w:szCs w:val="32"/>
        </w:rPr>
        <w:t>全市政府性基金收入合计561278万元，其中：</w:t>
      </w:r>
      <w:r>
        <w:rPr>
          <w:kern w:val="0"/>
          <w:sz w:val="32"/>
          <w:szCs w:val="32"/>
        </w:rPr>
        <w:t>2019年政府性基金预算收入315312万元（完成年度预算的96%，比上年减少9.1%，分项收入情况见表3）、省和杭州市专项补助24851万元、债务转贷收入180000万元、上年政府性基金预算收支结余41115万元。</w:t>
      </w:r>
      <w:r>
        <w:rPr>
          <w:b/>
          <w:kern w:val="0"/>
          <w:sz w:val="32"/>
          <w:szCs w:val="32"/>
        </w:rPr>
        <w:t>全市政府性基金支出合计561278万元，其中：</w:t>
      </w:r>
      <w:r>
        <w:rPr>
          <w:kern w:val="0"/>
          <w:sz w:val="32"/>
          <w:szCs w:val="32"/>
        </w:rPr>
        <w:t>2019年政府性基金支出425401万元</w:t>
      </w:r>
      <w:r>
        <w:rPr>
          <w:rStyle w:val="10"/>
          <w:kern w:val="0"/>
          <w:sz w:val="32"/>
          <w:szCs w:val="32"/>
        </w:rPr>
        <w:footnoteReference w:id="0"/>
      </w:r>
      <w:r>
        <w:rPr>
          <w:kern w:val="0"/>
          <w:sz w:val="32"/>
          <w:szCs w:val="32"/>
        </w:rPr>
        <w:t>（为年度可执行指标的90.7%，比上年增长18.1%，分项支出情况见表4）、调出资金11600万元、债券还本支出80480万元，累计结转下年43797万元。</w:t>
      </w:r>
      <w:r>
        <w:rPr>
          <w:b/>
          <w:bCs/>
          <w:kern w:val="0"/>
          <w:sz w:val="32"/>
          <w:szCs w:val="32"/>
        </w:rPr>
        <w:t>收支相抵，全市政府性基金预算</w:t>
      </w:r>
      <w:r>
        <w:rPr>
          <w:b/>
          <w:kern w:val="0"/>
          <w:sz w:val="32"/>
          <w:szCs w:val="32"/>
        </w:rPr>
        <w:t>收支平衡。</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（三）社会保险基金预算</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预算情况。</w:t>
      </w:r>
      <w:r>
        <w:rPr>
          <w:kern w:val="0"/>
          <w:sz w:val="32"/>
          <w:szCs w:val="32"/>
        </w:rPr>
        <w:t>市十六届人大三次会议批准的2019年全市社会保险基金收入预算为421803万元</w:t>
      </w:r>
      <w:r>
        <w:rPr>
          <w:rStyle w:val="10"/>
          <w:kern w:val="0"/>
          <w:sz w:val="32"/>
          <w:szCs w:val="32"/>
        </w:rPr>
        <w:footnoteReference w:id="1"/>
      </w:r>
      <w:r>
        <w:rPr>
          <w:kern w:val="0"/>
          <w:sz w:val="32"/>
          <w:szCs w:val="32"/>
        </w:rPr>
        <w:t>，支出预算为445258万元。</w:t>
      </w:r>
    </w:p>
    <w:p>
      <w:pPr>
        <w:overflowPunct w:val="0"/>
        <w:autoSpaceDE w:val="0"/>
        <w:autoSpaceDN w:val="0"/>
        <w:adjustRightInd w:val="0"/>
        <w:spacing w:line="520" w:lineRule="exact"/>
        <w:ind w:firstLine="643" w:firstLineChars="200"/>
        <w:textAlignment w:val="baseline"/>
        <w:rPr>
          <w:b/>
          <w:kern w:val="0"/>
          <w:sz w:val="32"/>
          <w:szCs w:val="32"/>
        </w:rPr>
      </w:pPr>
      <w:r>
        <w:rPr>
          <w:b/>
          <w:bCs/>
          <w:kern w:val="0"/>
          <w:sz w:val="32"/>
          <w:szCs w:val="32"/>
        </w:rPr>
        <w:t>决算情况。2019年全市社会保险基金预算收入合计501646万元，其中：</w:t>
      </w:r>
      <w:r>
        <w:rPr>
          <w:kern w:val="0"/>
          <w:sz w:val="32"/>
          <w:szCs w:val="32"/>
        </w:rPr>
        <w:t>全年收入决算数为438617万元</w:t>
      </w:r>
      <w:r>
        <w:rPr>
          <w:rStyle w:val="10"/>
          <w:kern w:val="0"/>
          <w:sz w:val="32"/>
          <w:szCs w:val="32"/>
        </w:rPr>
        <w:footnoteReference w:id="2"/>
      </w:r>
      <w:r>
        <w:rPr>
          <w:kern w:val="0"/>
          <w:sz w:val="32"/>
          <w:szCs w:val="32"/>
        </w:rPr>
        <w:t>（完成年度预算的104%，比上年增长6.7%，分项收支结余情况见表5）、上年结余收入63029万元。</w:t>
      </w:r>
      <w:r>
        <w:rPr>
          <w:b/>
          <w:bCs/>
          <w:kern w:val="0"/>
          <w:sz w:val="32"/>
          <w:szCs w:val="32"/>
        </w:rPr>
        <w:t>2019年全市社会保险基金预算支出合计501646万元，其中：</w:t>
      </w:r>
      <w:r>
        <w:rPr>
          <w:kern w:val="0"/>
          <w:sz w:val="32"/>
          <w:szCs w:val="32"/>
        </w:rPr>
        <w:t>当年支出449667万元（为年初预算的101%，比上年增长7.7%），年末滚存结余51979万元</w:t>
      </w:r>
      <w:r>
        <w:rPr>
          <w:rStyle w:val="10"/>
          <w:kern w:val="0"/>
          <w:sz w:val="32"/>
          <w:szCs w:val="32"/>
        </w:rPr>
        <w:footnoteReference w:id="3"/>
      </w:r>
      <w:r>
        <w:rPr>
          <w:kern w:val="0"/>
          <w:sz w:val="32"/>
          <w:szCs w:val="32"/>
        </w:rPr>
        <w:t>。</w:t>
      </w:r>
      <w:r>
        <w:rPr>
          <w:b/>
          <w:bCs/>
          <w:kern w:val="0"/>
          <w:sz w:val="32"/>
          <w:szCs w:val="32"/>
        </w:rPr>
        <w:t>收支相抵，全市社会保险基金预算</w:t>
      </w:r>
      <w:r>
        <w:rPr>
          <w:b/>
          <w:kern w:val="0"/>
          <w:sz w:val="32"/>
          <w:szCs w:val="32"/>
        </w:rPr>
        <w:t>收支平衡。</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（四）国有资本经营预算</w:t>
      </w:r>
    </w:p>
    <w:p>
      <w:pPr>
        <w:overflowPunct w:val="0"/>
        <w:autoSpaceDE w:val="0"/>
        <w:autoSpaceDN w:val="0"/>
        <w:adjustRightInd w:val="0"/>
        <w:spacing w:line="520" w:lineRule="exact"/>
        <w:ind w:firstLine="643" w:firstLineChars="200"/>
        <w:textAlignment w:val="baseline"/>
        <w:rPr>
          <w:kern w:val="0"/>
          <w:sz w:val="32"/>
          <w:szCs w:val="32"/>
        </w:rPr>
      </w:pPr>
      <w:r>
        <w:rPr>
          <w:b/>
          <w:bCs/>
          <w:kern w:val="0"/>
          <w:sz w:val="32"/>
          <w:szCs w:val="32"/>
        </w:rPr>
        <w:t>预算情况。</w:t>
      </w:r>
      <w:r>
        <w:rPr>
          <w:kern w:val="0"/>
          <w:sz w:val="32"/>
          <w:szCs w:val="32"/>
        </w:rPr>
        <w:t>市十六届人大三次会议批准的2019年全市国有资本经营收支预算为6000万元，经市十六届人大常委会第二十七次会议批准，当年全市国有资本经营收支预算调整为24000万元。</w:t>
      </w:r>
    </w:p>
    <w:p>
      <w:pPr>
        <w:overflowPunct w:val="0"/>
        <w:autoSpaceDE w:val="0"/>
        <w:autoSpaceDN w:val="0"/>
        <w:adjustRightInd w:val="0"/>
        <w:spacing w:line="520" w:lineRule="exact"/>
        <w:ind w:firstLine="643" w:firstLineChars="200"/>
        <w:textAlignment w:val="baseline"/>
        <w:rPr>
          <w:sz w:val="32"/>
          <w:szCs w:val="32"/>
        </w:rPr>
      </w:pPr>
      <w:r>
        <w:rPr>
          <w:b/>
          <w:bCs/>
          <w:kern w:val="0"/>
          <w:sz w:val="32"/>
          <w:szCs w:val="32"/>
        </w:rPr>
        <w:t>决算情况。</w:t>
      </w:r>
      <w:r>
        <w:rPr>
          <w:kern w:val="0"/>
          <w:sz w:val="32"/>
          <w:szCs w:val="32"/>
        </w:rPr>
        <w:t>2019年全市国有资本经营收入为24000万元，为预算的100%；全市国有资本经营支出为24000万元，为预算的100%（分项收支情况见表6）。</w:t>
      </w:r>
      <w:r>
        <w:rPr>
          <w:b/>
          <w:bCs/>
          <w:kern w:val="0"/>
          <w:sz w:val="32"/>
          <w:szCs w:val="32"/>
        </w:rPr>
        <w:t>收支相抵，全市国有资本经营预算</w:t>
      </w:r>
      <w:r>
        <w:rPr>
          <w:b/>
          <w:kern w:val="0"/>
          <w:sz w:val="32"/>
          <w:szCs w:val="32"/>
        </w:rPr>
        <w:t>收支平衡。</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（五）政府债务情况</w:t>
      </w:r>
    </w:p>
    <w:p>
      <w:pPr>
        <w:overflowPunct w:val="0"/>
        <w:autoSpaceDE w:val="0"/>
        <w:autoSpaceDN w:val="0"/>
        <w:adjustRightInd w:val="0"/>
        <w:spacing w:line="520" w:lineRule="exact"/>
        <w:ind w:firstLine="640" w:firstLineChars="200"/>
        <w:textAlignment w:val="baseline"/>
        <w:rPr>
          <w:kern w:val="0"/>
          <w:sz w:val="32"/>
          <w:szCs w:val="32"/>
          <w:highlight w:val="green"/>
        </w:rPr>
      </w:pPr>
      <w:r>
        <w:rPr>
          <w:kern w:val="0"/>
          <w:sz w:val="32"/>
          <w:szCs w:val="32"/>
        </w:rPr>
        <w:t>2019年初，我市政府债务余额为801686万元（其中：一般债务634878万元，专项债务166808万元）。2019年批准的我市地方政府债务限额为902500万元，其中：一般债务限额635600万元、专项债务限额266900万元。2019年末我市政府债务余额为900920万元（其中：一般债务634592万元，专项债务266328万元，分项情况见表7）。</w:t>
      </w:r>
    </w:p>
    <w:p>
      <w:pPr>
        <w:overflowPunct w:val="0"/>
        <w:autoSpaceDE w:val="0"/>
        <w:autoSpaceDN w:val="0"/>
        <w:adjustRightInd w:val="0"/>
        <w:spacing w:line="520" w:lineRule="exact"/>
        <w:ind w:firstLine="643" w:firstLineChars="200"/>
        <w:textAlignment w:val="baseline"/>
        <w:rPr>
          <w:b/>
          <w:bCs/>
          <w:kern w:val="0"/>
          <w:sz w:val="32"/>
          <w:szCs w:val="32"/>
        </w:rPr>
      </w:pPr>
      <w:r>
        <w:rPr>
          <w:b/>
          <w:bCs/>
          <w:kern w:val="0"/>
          <w:sz w:val="32"/>
          <w:szCs w:val="32"/>
        </w:rPr>
        <w:t>由于市十六届人大四次会议召开时，全市2019年度财政决算尚在编审中，因此，向市十六届人大四次会议报告的全市2019年财政预算执行数均为预计数。本次报告的数据为经省财政审核通过的决算数。</w:t>
      </w:r>
    </w:p>
    <w:p>
      <w:pPr>
        <w:overflowPunct w:val="0"/>
        <w:autoSpaceDE w:val="0"/>
        <w:autoSpaceDN w:val="0"/>
        <w:adjustRightInd w:val="0"/>
        <w:spacing w:line="520" w:lineRule="exact"/>
        <w:ind w:firstLine="640" w:firstLineChars="200"/>
        <w:textAlignment w:val="baseline"/>
        <w:rPr>
          <w:rFonts w:eastAsia="黑体"/>
          <w:kern w:val="0"/>
          <w:sz w:val="32"/>
          <w:szCs w:val="32"/>
        </w:rPr>
      </w:pPr>
      <w:r>
        <w:rPr>
          <w:rFonts w:eastAsia="黑体"/>
          <w:kern w:val="0"/>
          <w:sz w:val="32"/>
          <w:szCs w:val="32"/>
        </w:rPr>
        <w:t>二、2020年上半年财政预算执行情况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今年以来，在市委的正确领导和市人大、政协的监督、支持下，全市财政工作坚持以习近平新时代中国特色社会主义思想为指导，扎实做好“六稳”工作，全面落实“六保”任务。全力统筹推进疫情防控和经济社会发展，确保达成“战疫情、促发展”两战赢的总体要求。实施积极的财政政策，加大财源培植力度，拓展减税降费成效，强化过“紧日子”意识，优化财政支出结构，将“财为政服务”落实到财政工作全过程，为加快建德新崛起提供充沛动能，</w:t>
      </w:r>
      <w:r>
        <w:rPr>
          <w:rFonts w:hint="eastAsia"/>
          <w:kern w:val="0"/>
          <w:sz w:val="32"/>
          <w:szCs w:val="32"/>
        </w:rPr>
        <w:t>确保</w:t>
      </w:r>
      <w:r>
        <w:rPr>
          <w:kern w:val="0"/>
          <w:sz w:val="32"/>
          <w:szCs w:val="32"/>
        </w:rPr>
        <w:t>地方财政预算平稳运行。</w:t>
      </w:r>
    </w:p>
    <w:p>
      <w:pPr>
        <w:overflowPunct w:val="0"/>
        <w:autoSpaceDE w:val="0"/>
        <w:autoSpaceDN w:val="0"/>
        <w:adjustRightInd w:val="0"/>
        <w:spacing w:line="520" w:lineRule="exact"/>
        <w:ind w:firstLine="643" w:firstLineChars="200"/>
        <w:textAlignment w:val="baseline"/>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（一）上半年收支执行情况</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1.一般公共预算收支情况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2020年上半年，市本级完成一般公共预算收入134416万元，比上年同期增长16.2%（分项收入情况见表8）；市本级一般公共预算支出270368万元，比上年同期增长1.6%（分项支出情况见表9）。</w:t>
      </w:r>
    </w:p>
    <w:p>
      <w:pPr>
        <w:overflowPunct w:val="0"/>
        <w:autoSpaceDE w:val="0"/>
        <w:autoSpaceDN w:val="0"/>
        <w:adjustRightInd w:val="0"/>
        <w:spacing w:line="520" w:lineRule="exact"/>
        <w:ind w:firstLine="640" w:firstLineChars="200"/>
        <w:textAlignment w:val="baseline"/>
        <w:rPr>
          <w:sz w:val="32"/>
          <w:szCs w:val="32"/>
        </w:rPr>
      </w:pPr>
      <w:r>
        <w:rPr>
          <w:rFonts w:hint="eastAsia"/>
          <w:kern w:val="0"/>
          <w:sz w:val="32"/>
          <w:szCs w:val="32"/>
        </w:rPr>
        <w:t>上半年，</w:t>
      </w:r>
      <w:r>
        <w:rPr>
          <w:kern w:val="0"/>
          <w:sz w:val="32"/>
          <w:szCs w:val="32"/>
        </w:rPr>
        <w:t>全市完成一般公共预算收入191066万元，为预算的55.9%，比上年同期增长5.1%（同期全市完成财政总收入317905万元，比上年同期增长0.7%）</w:t>
      </w:r>
      <w:r>
        <w:rPr>
          <w:rFonts w:hint="eastAsia"/>
          <w:kern w:val="0"/>
          <w:sz w:val="32"/>
          <w:szCs w:val="32"/>
        </w:rPr>
        <w:t>；</w:t>
      </w:r>
      <w:r>
        <w:rPr>
          <w:kern w:val="0"/>
          <w:sz w:val="32"/>
          <w:szCs w:val="32"/>
        </w:rPr>
        <w:t>全市一般公共预算支出311450万元，为预算的58.1%，比上年同期增长0.7%（分项支出情况见表9）。</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预备费动用情况：</w:t>
      </w:r>
      <w:r>
        <w:rPr>
          <w:kern w:val="0"/>
          <w:sz w:val="32"/>
          <w:szCs w:val="32"/>
        </w:rPr>
        <w:t>2020年安排预备费2000万元，目前已动用1580万元，其中安排疫情防控500万元、复工复产政策兑现1080万元</w:t>
      </w:r>
      <w:r>
        <w:rPr>
          <w:rFonts w:hint="eastAsia"/>
          <w:kern w:val="0"/>
          <w:sz w:val="32"/>
          <w:szCs w:val="32"/>
        </w:rPr>
        <w:t>，</w:t>
      </w:r>
      <w:r>
        <w:rPr>
          <w:kern w:val="0"/>
          <w:sz w:val="32"/>
          <w:szCs w:val="32"/>
        </w:rPr>
        <w:t>剩余420万元。目前疫情防控和复工复产相关政策补助还在结算中，预备费的具体动用情况将在2020年调整预算时作详细汇报。</w:t>
      </w:r>
    </w:p>
    <w:p>
      <w:pPr>
        <w:overflowPunct w:val="0"/>
        <w:autoSpaceDE w:val="0"/>
        <w:autoSpaceDN w:val="0"/>
        <w:adjustRightInd w:val="0"/>
        <w:spacing w:line="520" w:lineRule="exact"/>
        <w:ind w:firstLine="643" w:firstLineChars="200"/>
        <w:textAlignment w:val="baseline"/>
        <w:rPr>
          <w:b/>
          <w:color w:val="FF0000"/>
          <w:kern w:val="0"/>
          <w:sz w:val="32"/>
          <w:szCs w:val="32"/>
        </w:rPr>
      </w:pPr>
      <w:r>
        <w:rPr>
          <w:b/>
          <w:kern w:val="0"/>
          <w:sz w:val="32"/>
          <w:szCs w:val="32"/>
        </w:rPr>
        <w:t>2.政府性基金预算收支情况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2020年上半年全市完成政府性基金预算收入156989万元，为预算的56%，比上年同期增长90.1%，主要原因上年土地成交，于今年上半年入库部分多于上年同期；全市政府性基金预算支出168241万元，为年初预算的52%，比上年同期增长28.8%（分项收支情况见表10）。</w:t>
      </w:r>
    </w:p>
    <w:p>
      <w:pPr>
        <w:overflowPunct w:val="0"/>
        <w:autoSpaceDE w:val="0"/>
        <w:autoSpaceDN w:val="0"/>
        <w:adjustRightInd w:val="0"/>
        <w:spacing w:line="520" w:lineRule="exact"/>
        <w:ind w:firstLine="643" w:firstLineChars="200"/>
        <w:textAlignment w:val="baseline"/>
        <w:rPr>
          <w:b/>
          <w:bCs/>
          <w:kern w:val="0"/>
          <w:sz w:val="32"/>
          <w:szCs w:val="32"/>
        </w:rPr>
      </w:pPr>
      <w:r>
        <w:rPr>
          <w:b/>
          <w:bCs/>
          <w:kern w:val="0"/>
          <w:sz w:val="32"/>
          <w:szCs w:val="32"/>
        </w:rPr>
        <w:t>3.社会保险基金预算收支情况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2020年上半年全市完成社会保险基金预算收入259102万元，为预算的54.6%；社会保险基金预算支出219428万元，为预算的46.6%（分项支出情况见表11）。</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4.国有资本经营预算收支情况</w:t>
      </w:r>
    </w:p>
    <w:p>
      <w:pPr>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2020年上半年全市完成国有资本经营预算收入593万元，为预算的39.5%；全市国有资本经营预算尚未形成支出，主要原因是年初预算全部安排为调出资金，在下半年体现支出（分项收支情况见表12）。</w:t>
      </w:r>
    </w:p>
    <w:p>
      <w:pPr>
        <w:overflowPunct w:val="0"/>
        <w:autoSpaceDE w:val="0"/>
        <w:autoSpaceDN w:val="0"/>
        <w:adjustRightInd w:val="0"/>
        <w:spacing w:line="520" w:lineRule="exact"/>
        <w:ind w:firstLine="643" w:firstLineChars="200"/>
        <w:textAlignment w:val="baseline"/>
        <w:rPr>
          <w:b/>
          <w:kern w:val="0"/>
          <w:sz w:val="32"/>
          <w:szCs w:val="32"/>
        </w:rPr>
      </w:pPr>
      <w:r>
        <w:rPr>
          <w:b/>
          <w:kern w:val="0"/>
          <w:sz w:val="32"/>
          <w:szCs w:val="32"/>
        </w:rPr>
        <w:t>5.政府债务情况</w:t>
      </w:r>
    </w:p>
    <w:p>
      <w:pPr>
        <w:widowControl/>
        <w:overflowPunct w:val="0"/>
        <w:autoSpaceDE w:val="0"/>
        <w:autoSpaceDN w:val="0"/>
        <w:adjustRightInd w:val="0"/>
        <w:spacing w:line="520" w:lineRule="exact"/>
        <w:ind w:firstLine="640" w:firstLineChars="200"/>
        <w:textAlignment w:val="baseline"/>
        <w:rPr>
          <w:kern w:val="0"/>
          <w:sz w:val="32"/>
          <w:szCs w:val="32"/>
        </w:rPr>
      </w:pPr>
      <w:r>
        <w:rPr>
          <w:kern w:val="0"/>
          <w:sz w:val="32"/>
          <w:szCs w:val="32"/>
        </w:rPr>
        <w:t>截至2020年6月末，全市债务余额为943920万元（其中：一般债务余额634592万元，专项债务309328万元）。2020年1月和5月，我市分两批次申请</w:t>
      </w:r>
      <w:r>
        <w:rPr>
          <w:rFonts w:hint="eastAsia"/>
          <w:kern w:val="0"/>
          <w:sz w:val="32"/>
          <w:szCs w:val="32"/>
        </w:rPr>
        <w:t>并获得省</w:t>
      </w:r>
      <w:r>
        <w:rPr>
          <w:kern w:val="0"/>
          <w:sz w:val="32"/>
          <w:szCs w:val="32"/>
        </w:rPr>
        <w:t>政府专项债43000万元，</w:t>
      </w:r>
      <w:r>
        <w:rPr>
          <w:rFonts w:hint="eastAsia"/>
          <w:kern w:val="0"/>
          <w:sz w:val="32"/>
          <w:szCs w:val="32"/>
        </w:rPr>
        <w:t>分别</w:t>
      </w:r>
      <w:r>
        <w:rPr>
          <w:kern w:val="0"/>
          <w:sz w:val="32"/>
          <w:szCs w:val="32"/>
        </w:rPr>
        <w:t>用于新安江至梅城主供水管网新建工程项目和下涯镇之江村乡村振兴工程项目的建设支出。</w:t>
      </w:r>
    </w:p>
    <w:p>
      <w:pPr>
        <w:widowControl/>
        <w:overflowPunct w:val="0"/>
        <w:autoSpaceDE w:val="0"/>
        <w:autoSpaceDN w:val="0"/>
        <w:adjustRightInd w:val="0"/>
        <w:spacing w:line="520" w:lineRule="exact"/>
        <w:ind w:firstLine="643" w:firstLineChars="200"/>
        <w:textAlignment w:val="baseline"/>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（二）积极落实人大审查意见，整改审计发现的问题</w:t>
      </w:r>
    </w:p>
    <w:p>
      <w:pPr>
        <w:spacing w:line="520" w:lineRule="exact"/>
        <w:ind w:firstLine="643" w:firstLineChars="200"/>
        <w:rPr>
          <w:kern w:val="0"/>
          <w:sz w:val="32"/>
          <w:szCs w:val="32"/>
        </w:rPr>
      </w:pPr>
      <w:r>
        <w:rPr>
          <w:rFonts w:hint="eastAsia"/>
          <w:b/>
          <w:bCs/>
          <w:kern w:val="0"/>
          <w:sz w:val="32"/>
          <w:szCs w:val="32"/>
        </w:rPr>
        <w:t>1.</w:t>
      </w:r>
      <w:r>
        <w:rPr>
          <w:b/>
          <w:bCs/>
          <w:kern w:val="0"/>
          <w:sz w:val="32"/>
          <w:szCs w:val="32"/>
        </w:rPr>
        <w:t>积极落实年初人代会审查结果意见。</w:t>
      </w:r>
      <w:r>
        <w:rPr>
          <w:kern w:val="0"/>
          <w:sz w:val="32"/>
          <w:szCs w:val="32"/>
        </w:rPr>
        <w:t>针对年初人代会财政预算审查结果意见，市财政局逐项研究分析，主要围绕“提高预算管理水平、增加政府可用财力、加强项目投资管理和推动国有公司转型”等方面，采取积极有效措施予以落实。同时</w:t>
      </w:r>
      <w:r>
        <w:rPr>
          <w:rFonts w:hint="eastAsia"/>
          <w:kern w:val="0"/>
          <w:sz w:val="32"/>
          <w:szCs w:val="32"/>
        </w:rPr>
        <w:t>，</w:t>
      </w:r>
      <w:r>
        <w:rPr>
          <w:kern w:val="0"/>
          <w:sz w:val="32"/>
          <w:szCs w:val="32"/>
        </w:rPr>
        <w:t>做好人大预算联网监督系统的运用，及时将财政收支和部门预决算等信息导入监督平台，</w:t>
      </w:r>
      <w:r>
        <w:rPr>
          <w:rFonts w:hint="eastAsia"/>
          <w:kern w:val="0"/>
          <w:sz w:val="32"/>
          <w:szCs w:val="32"/>
        </w:rPr>
        <w:t>进一步提高</w:t>
      </w:r>
      <w:r>
        <w:rPr>
          <w:kern w:val="0"/>
          <w:sz w:val="32"/>
          <w:szCs w:val="32"/>
        </w:rPr>
        <w:t>预算审查</w:t>
      </w:r>
      <w:r>
        <w:rPr>
          <w:rFonts w:hint="eastAsia"/>
          <w:kern w:val="0"/>
          <w:sz w:val="32"/>
          <w:szCs w:val="32"/>
        </w:rPr>
        <w:t>、</w:t>
      </w:r>
      <w:r>
        <w:rPr>
          <w:kern w:val="0"/>
          <w:sz w:val="32"/>
          <w:szCs w:val="32"/>
        </w:rPr>
        <w:t>监督信息化</w:t>
      </w:r>
      <w:r>
        <w:rPr>
          <w:rFonts w:hint="eastAsia"/>
          <w:kern w:val="0"/>
          <w:sz w:val="32"/>
          <w:szCs w:val="32"/>
        </w:rPr>
        <w:t>水平。</w:t>
      </w:r>
      <w:r>
        <w:rPr>
          <w:kern w:val="0"/>
          <w:sz w:val="32"/>
          <w:szCs w:val="32"/>
        </w:rPr>
        <w:t> </w:t>
      </w:r>
    </w:p>
    <w:p>
      <w:pPr>
        <w:spacing w:line="520" w:lineRule="exact"/>
        <w:ind w:firstLine="643" w:firstLineChars="200"/>
        <w:rPr>
          <w:kern w:val="0"/>
          <w:sz w:val="32"/>
          <w:szCs w:val="32"/>
        </w:rPr>
      </w:pPr>
      <w:r>
        <w:rPr>
          <w:rFonts w:hint="eastAsia"/>
          <w:b/>
          <w:bCs/>
          <w:kern w:val="0"/>
          <w:sz w:val="32"/>
          <w:szCs w:val="32"/>
        </w:rPr>
        <w:t>2.</w:t>
      </w:r>
      <w:r>
        <w:rPr>
          <w:b/>
          <w:bCs/>
          <w:kern w:val="0"/>
          <w:sz w:val="32"/>
          <w:szCs w:val="32"/>
        </w:rPr>
        <w:t>强化审计监督，</w:t>
      </w:r>
      <w:r>
        <w:rPr>
          <w:rFonts w:hint="eastAsia"/>
          <w:b/>
          <w:bCs/>
          <w:kern w:val="0"/>
          <w:sz w:val="32"/>
          <w:szCs w:val="32"/>
        </w:rPr>
        <w:t>积极落实整改</w:t>
      </w:r>
      <w:r>
        <w:rPr>
          <w:b/>
          <w:bCs/>
          <w:kern w:val="0"/>
          <w:sz w:val="32"/>
          <w:szCs w:val="32"/>
        </w:rPr>
        <w:t>。</w:t>
      </w:r>
      <w:r>
        <w:rPr>
          <w:kern w:val="0"/>
          <w:sz w:val="32"/>
          <w:szCs w:val="32"/>
        </w:rPr>
        <w:t>积极落实审计整改意见，对审计查出的问题，第一时间安排专人整改落实。做好以审促管，从长效机制建设上防范财政风险，着手解决在政府预算体系建设、预算收支管理等方面的短板。同时，建立财审联席会议制度，进一步加强财政、审计、巡查联动，形成监督合力。</w:t>
      </w:r>
    </w:p>
    <w:p>
      <w:pPr>
        <w:widowControl/>
        <w:overflowPunct w:val="0"/>
        <w:autoSpaceDE w:val="0"/>
        <w:autoSpaceDN w:val="0"/>
        <w:adjustRightInd w:val="0"/>
        <w:spacing w:line="520" w:lineRule="exact"/>
        <w:ind w:firstLine="643" w:firstLineChars="200"/>
        <w:textAlignment w:val="baseline"/>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（三）上半年财政预算执行中所做的重点工作</w:t>
      </w:r>
    </w:p>
    <w:p>
      <w:pPr>
        <w:overflowPunct w:val="0"/>
        <w:autoSpaceDE w:val="0"/>
        <w:autoSpaceDN w:val="0"/>
        <w:adjustRightInd w:val="0"/>
        <w:spacing w:line="520" w:lineRule="exact"/>
        <w:ind w:firstLine="643" w:firstLineChars="200"/>
        <w:textAlignment w:val="baseline"/>
        <w:rPr>
          <w:kern w:val="0"/>
          <w:sz w:val="32"/>
          <w:szCs w:val="32"/>
        </w:rPr>
      </w:pPr>
      <w:r>
        <w:rPr>
          <w:rFonts w:hint="eastAsia"/>
          <w:b/>
          <w:bCs/>
          <w:kern w:val="0"/>
          <w:sz w:val="32"/>
          <w:szCs w:val="32"/>
        </w:rPr>
        <w:t>1.</w:t>
      </w:r>
      <w:r>
        <w:rPr>
          <w:b/>
          <w:bCs/>
          <w:kern w:val="0"/>
          <w:sz w:val="32"/>
          <w:szCs w:val="32"/>
        </w:rPr>
        <w:t>抓收入，</w:t>
      </w:r>
      <w:r>
        <w:rPr>
          <w:b/>
          <w:kern w:val="0"/>
          <w:sz w:val="32"/>
          <w:szCs w:val="32"/>
        </w:rPr>
        <w:t>确保收入平稳</w:t>
      </w:r>
      <w:r>
        <w:rPr>
          <w:b/>
          <w:bCs/>
          <w:kern w:val="0"/>
          <w:sz w:val="32"/>
          <w:szCs w:val="32"/>
        </w:rPr>
        <w:t>。</w:t>
      </w:r>
      <w:r>
        <w:rPr>
          <w:kern w:val="0"/>
          <w:sz w:val="32"/>
          <w:szCs w:val="32"/>
        </w:rPr>
        <w:t>紧紧围绕组织收入目标，深入研判财税经济形势特别是新冠疫情对财政收入的影响，加强征管，应收尽收，确保财政收入平稳可持续增长。紧抓开源增收工作，科学谋划开源增收项目，完善考核办法，积极向上争取政策、项目和资金支持。通过积极向上对接，争取中央“两直”资金3.7亿元，全部用于“三保”支出和惠企政策兑现，直接惠企利民。同时，密切关注重大改革，跟踪省对县市财政体制调整，研判社保统筹等政策对我市财力的影响，及时做好收入预案，力争在利益调整中赢得主动。</w:t>
      </w:r>
    </w:p>
    <w:p>
      <w:pPr>
        <w:spacing w:line="520" w:lineRule="exact"/>
        <w:ind w:firstLine="643" w:firstLineChars="200"/>
        <w:rPr>
          <w:kern w:val="0"/>
          <w:sz w:val="32"/>
          <w:szCs w:val="32"/>
        </w:rPr>
      </w:pPr>
      <w:r>
        <w:rPr>
          <w:rFonts w:hint="eastAsia"/>
          <w:b/>
          <w:bCs/>
          <w:kern w:val="0"/>
          <w:sz w:val="32"/>
          <w:szCs w:val="32"/>
        </w:rPr>
        <w:t>2.</w:t>
      </w:r>
      <w:r>
        <w:rPr>
          <w:b/>
          <w:bCs/>
          <w:kern w:val="0"/>
          <w:sz w:val="32"/>
          <w:szCs w:val="32"/>
        </w:rPr>
        <w:t>保主体，精准助企发展。</w:t>
      </w:r>
      <w:r>
        <w:rPr>
          <w:kern w:val="0"/>
          <w:sz w:val="32"/>
          <w:szCs w:val="32"/>
        </w:rPr>
        <w:t>贯彻落实省委、市委关于“跑出高质量发展加速度，奋力实现年度目标任务”的重大决策部署，做好“六稳”、“六保”工作。</w:t>
      </w:r>
      <w:r>
        <w:rPr>
          <w:b/>
          <w:bCs/>
          <w:kern w:val="0"/>
          <w:sz w:val="32"/>
          <w:szCs w:val="32"/>
        </w:rPr>
        <w:t>一是</w:t>
      </w:r>
      <w:r>
        <w:rPr>
          <w:kern w:val="0"/>
          <w:sz w:val="32"/>
          <w:szCs w:val="32"/>
        </w:rPr>
        <w:t>大力实施“五减”政策，激发市场的内生动力。2020年新出台</w:t>
      </w:r>
      <w:r>
        <w:rPr>
          <w:rFonts w:hint="eastAsia"/>
          <w:kern w:val="0"/>
          <w:sz w:val="32"/>
          <w:szCs w:val="32"/>
        </w:rPr>
        <w:t>一系列</w:t>
      </w:r>
      <w:r>
        <w:rPr>
          <w:kern w:val="0"/>
          <w:sz w:val="32"/>
          <w:szCs w:val="32"/>
        </w:rPr>
        <w:t>支持疫情防控和经济社会发展的税费优惠政策</w:t>
      </w:r>
      <w:r>
        <w:rPr>
          <w:rFonts w:hint="eastAsia"/>
          <w:kern w:val="0"/>
          <w:sz w:val="32"/>
          <w:szCs w:val="32"/>
        </w:rPr>
        <w:t>，预计全年</w:t>
      </w:r>
      <w:r>
        <w:rPr>
          <w:kern w:val="0"/>
          <w:sz w:val="32"/>
          <w:szCs w:val="32"/>
        </w:rPr>
        <w:t>新增减税降费5.8亿元，</w:t>
      </w:r>
      <w:r>
        <w:rPr>
          <w:rFonts w:hint="eastAsia"/>
          <w:kern w:val="0"/>
          <w:sz w:val="32"/>
          <w:szCs w:val="32"/>
        </w:rPr>
        <w:t>其中</w:t>
      </w:r>
      <w:r>
        <w:rPr>
          <w:kern w:val="0"/>
          <w:sz w:val="32"/>
          <w:szCs w:val="32"/>
        </w:rPr>
        <w:t>减税0.</w:t>
      </w:r>
      <w:r>
        <w:rPr>
          <w:rFonts w:hint="eastAsia"/>
          <w:kern w:val="0"/>
          <w:sz w:val="32"/>
          <w:szCs w:val="32"/>
        </w:rPr>
        <w:t>7</w:t>
      </w:r>
      <w:r>
        <w:rPr>
          <w:kern w:val="0"/>
          <w:sz w:val="32"/>
          <w:szCs w:val="32"/>
        </w:rPr>
        <w:t>亿元</w:t>
      </w:r>
      <w:r>
        <w:rPr>
          <w:rFonts w:hint="eastAsia"/>
          <w:kern w:val="0"/>
          <w:sz w:val="32"/>
          <w:szCs w:val="32"/>
        </w:rPr>
        <w:t>、</w:t>
      </w:r>
      <w:r>
        <w:rPr>
          <w:kern w:val="0"/>
          <w:sz w:val="32"/>
          <w:szCs w:val="32"/>
        </w:rPr>
        <w:t>阶段性减免社保费5.1亿元。截至目前，累计兑现减税0.2亿元</w:t>
      </w:r>
      <w:r>
        <w:rPr>
          <w:rFonts w:hint="eastAsia"/>
          <w:kern w:val="0"/>
          <w:sz w:val="32"/>
          <w:szCs w:val="32"/>
        </w:rPr>
        <w:t>、</w:t>
      </w:r>
      <w:r>
        <w:rPr>
          <w:kern w:val="0"/>
          <w:sz w:val="32"/>
          <w:szCs w:val="32"/>
        </w:rPr>
        <w:t>减费2.</w:t>
      </w:r>
      <w:r>
        <w:rPr>
          <w:rFonts w:hint="eastAsia"/>
          <w:kern w:val="0"/>
          <w:sz w:val="32"/>
          <w:szCs w:val="32"/>
        </w:rPr>
        <w:t>4</w:t>
      </w:r>
      <w:r>
        <w:rPr>
          <w:kern w:val="0"/>
          <w:sz w:val="32"/>
          <w:szCs w:val="32"/>
        </w:rPr>
        <w:t>亿元，完成进度4</w:t>
      </w:r>
      <w:r>
        <w:rPr>
          <w:rFonts w:hint="eastAsia"/>
          <w:kern w:val="0"/>
          <w:sz w:val="32"/>
          <w:szCs w:val="32"/>
        </w:rPr>
        <w:t>5</w:t>
      </w:r>
      <w:r>
        <w:rPr>
          <w:kern w:val="0"/>
          <w:sz w:val="32"/>
          <w:szCs w:val="32"/>
        </w:rPr>
        <w:t>%。</w:t>
      </w:r>
      <w:r>
        <w:rPr>
          <w:b/>
          <w:bCs/>
          <w:kern w:val="0"/>
          <w:sz w:val="32"/>
          <w:szCs w:val="32"/>
        </w:rPr>
        <w:t>二是</w:t>
      </w:r>
      <w:r>
        <w:rPr>
          <w:kern w:val="0"/>
          <w:sz w:val="32"/>
          <w:szCs w:val="32"/>
        </w:rPr>
        <w:t>延续2019年更大规模减税降费政策。支持企业发展，开拓市场，转型升级，切实帮助企业温暖过冬，预计全年实现降本减负约6.4亿元，截至目前已兑现4.8亿元，完成进度75%。</w:t>
      </w:r>
      <w:r>
        <w:rPr>
          <w:b/>
          <w:bCs/>
          <w:kern w:val="0"/>
          <w:sz w:val="32"/>
          <w:szCs w:val="32"/>
        </w:rPr>
        <w:t>三是</w:t>
      </w:r>
      <w:r>
        <w:rPr>
          <w:kern w:val="0"/>
          <w:sz w:val="32"/>
          <w:szCs w:val="32"/>
        </w:rPr>
        <w:t>落实省市及本地疫情期间惠企政策，推动企业复工达产扩面提速，助力惠企纾困，预计全年保障惠企政策兑现1.4亿元，截至目前已兑现0.6亿元，完成进度4</w:t>
      </w:r>
      <w:r>
        <w:rPr>
          <w:rFonts w:hint="eastAsia"/>
          <w:kern w:val="0"/>
          <w:sz w:val="32"/>
          <w:szCs w:val="32"/>
        </w:rPr>
        <w:t>3</w:t>
      </w:r>
      <w:r>
        <w:rPr>
          <w:kern w:val="0"/>
          <w:sz w:val="32"/>
          <w:szCs w:val="32"/>
        </w:rPr>
        <w:t>%。</w:t>
      </w:r>
      <w:r>
        <w:rPr>
          <w:b/>
          <w:bCs/>
          <w:kern w:val="0"/>
          <w:sz w:val="32"/>
          <w:szCs w:val="32"/>
        </w:rPr>
        <w:t>四是</w:t>
      </w:r>
      <w:r>
        <w:rPr>
          <w:kern w:val="0"/>
          <w:sz w:val="32"/>
          <w:szCs w:val="32"/>
        </w:rPr>
        <w:t>积极落实央行疫情专项再贷款政策，专项再贷款政策享受企业户数从最初的3家增加到18家，以信用贷款方式发放优惠利率贷款3.</w:t>
      </w:r>
      <w:r>
        <w:rPr>
          <w:rFonts w:hint="eastAsia"/>
          <w:kern w:val="0"/>
          <w:sz w:val="32"/>
          <w:szCs w:val="32"/>
        </w:rPr>
        <w:t>5</w:t>
      </w:r>
      <w:r>
        <w:rPr>
          <w:kern w:val="0"/>
          <w:sz w:val="32"/>
          <w:szCs w:val="32"/>
        </w:rPr>
        <w:t>亿元，企业授信加权平均利率2.</w:t>
      </w:r>
      <w:r>
        <w:rPr>
          <w:rFonts w:hint="eastAsia"/>
          <w:kern w:val="0"/>
          <w:sz w:val="32"/>
          <w:szCs w:val="32"/>
        </w:rPr>
        <w:t>6</w:t>
      </w:r>
      <w:r>
        <w:rPr>
          <w:kern w:val="0"/>
          <w:sz w:val="32"/>
          <w:szCs w:val="32"/>
        </w:rPr>
        <w:t>%，享受财政贴息433.5万元。此外，积极实施融资畅通工程，1-6月份为全市65家企业办理转贷5.5亿元。</w:t>
      </w:r>
    </w:p>
    <w:p>
      <w:pPr>
        <w:spacing w:line="520" w:lineRule="exact"/>
        <w:ind w:firstLine="643" w:firstLineChars="200"/>
        <w:rPr>
          <w:kern w:val="0"/>
          <w:sz w:val="32"/>
          <w:szCs w:val="32"/>
        </w:rPr>
      </w:pPr>
      <w:r>
        <w:rPr>
          <w:rFonts w:hint="eastAsia"/>
          <w:b/>
          <w:bCs/>
          <w:kern w:val="0"/>
          <w:sz w:val="32"/>
          <w:szCs w:val="32"/>
        </w:rPr>
        <w:t>3.</w:t>
      </w:r>
      <w:r>
        <w:rPr>
          <w:b/>
          <w:bCs/>
          <w:kern w:val="0"/>
          <w:sz w:val="32"/>
          <w:szCs w:val="32"/>
        </w:rPr>
        <w:t>保重点，注重改善民生。</w:t>
      </w:r>
      <w:r>
        <w:rPr>
          <w:kern w:val="0"/>
          <w:sz w:val="32"/>
          <w:szCs w:val="32"/>
        </w:rPr>
        <w:t>坚持政府过“紧日子”，着力压减一般性支出，调整优化支出结构，集中财力保障“两战赢”。加强民生实事财政资金保障，集中财力支持民生改善，积极推进教育、医疗、养老等基本公共服务标准化、均等化</w:t>
      </w:r>
      <w:r>
        <w:rPr>
          <w:rFonts w:hint="eastAsia"/>
          <w:kern w:val="0"/>
          <w:sz w:val="32"/>
          <w:szCs w:val="32"/>
        </w:rPr>
        <w:t>，</w:t>
      </w:r>
      <w:r>
        <w:rPr>
          <w:kern w:val="0"/>
          <w:sz w:val="32"/>
          <w:szCs w:val="32"/>
        </w:rPr>
        <w:t>关注低收入群体特别是困难群众，</w:t>
      </w:r>
      <w:r>
        <w:rPr>
          <w:rFonts w:hint="eastAsia"/>
          <w:kern w:val="0"/>
          <w:sz w:val="32"/>
          <w:szCs w:val="32"/>
        </w:rPr>
        <w:t>确保“</w:t>
      </w:r>
      <w:r>
        <w:rPr>
          <w:kern w:val="0"/>
          <w:sz w:val="32"/>
          <w:szCs w:val="32"/>
        </w:rPr>
        <w:t>基本生活应保尽保</w:t>
      </w:r>
      <w:r>
        <w:rPr>
          <w:rFonts w:hint="eastAsia"/>
          <w:kern w:val="0"/>
          <w:sz w:val="32"/>
          <w:szCs w:val="32"/>
        </w:rPr>
        <w:t>”</w:t>
      </w:r>
      <w:r>
        <w:rPr>
          <w:kern w:val="0"/>
          <w:sz w:val="32"/>
          <w:szCs w:val="32"/>
        </w:rPr>
        <w:t>执行到位，保障基本农产品保供稳价。强化财政扶贫资金监管，全力保障打赢脱贫攻坚战，加快补齐“三农”重点领域短板。</w:t>
      </w:r>
    </w:p>
    <w:p>
      <w:pPr>
        <w:spacing w:line="520" w:lineRule="exact"/>
        <w:ind w:firstLine="643" w:firstLineChars="200"/>
        <w:rPr>
          <w:kern w:val="0"/>
          <w:sz w:val="32"/>
          <w:szCs w:val="32"/>
        </w:rPr>
      </w:pPr>
      <w:r>
        <w:rPr>
          <w:rFonts w:hint="eastAsia"/>
          <w:b/>
          <w:bCs/>
          <w:kern w:val="0"/>
          <w:sz w:val="32"/>
          <w:szCs w:val="32"/>
        </w:rPr>
        <w:t>4.</w:t>
      </w:r>
      <w:r>
        <w:rPr>
          <w:b/>
          <w:bCs/>
          <w:kern w:val="0"/>
          <w:sz w:val="32"/>
          <w:szCs w:val="32"/>
        </w:rPr>
        <w:t>强管理，深化财政改革。</w:t>
      </w:r>
      <w:r>
        <w:rPr>
          <w:kern w:val="0"/>
          <w:sz w:val="32"/>
          <w:szCs w:val="32"/>
        </w:rPr>
        <w:t>推进部门整体绩效预算编制改革试点。完善预算编制约束机制，提升预算编制科学化、精细化水平。加快预算执行，实施预算控制数“双挂钩”机制，深化建立预算执行通报约谈扣分机制。加强乡镇财政管理，启动新一轮乡镇体制机制调整。制定出台政府投资预算管理办法，确立年度投资总规模原则，全面执行项目资金来源审查机制，创新政府投资项目资金保障模式。推进“财政跑”改革，通过主动服务实现财政工作提速增效。</w:t>
      </w:r>
    </w:p>
    <w:p>
      <w:pPr>
        <w:spacing w:line="520" w:lineRule="exact"/>
        <w:ind w:firstLine="643" w:firstLineChars="200"/>
        <w:rPr>
          <w:kern w:val="0"/>
          <w:sz w:val="32"/>
          <w:szCs w:val="32"/>
        </w:rPr>
      </w:pPr>
      <w:r>
        <w:rPr>
          <w:rFonts w:hint="eastAsia"/>
          <w:b/>
          <w:bCs/>
          <w:kern w:val="0"/>
          <w:sz w:val="32"/>
          <w:szCs w:val="32"/>
        </w:rPr>
        <w:t>5.</w:t>
      </w:r>
      <w:r>
        <w:rPr>
          <w:b/>
          <w:bCs/>
          <w:kern w:val="0"/>
          <w:sz w:val="32"/>
          <w:szCs w:val="32"/>
        </w:rPr>
        <w:t>强监管，有效防范风险。</w:t>
      </w:r>
      <w:r>
        <w:rPr>
          <w:kern w:val="0"/>
          <w:sz w:val="32"/>
          <w:szCs w:val="32"/>
        </w:rPr>
        <w:t>推进以绩效为核心的集中财力办大事财政管理体系建设，加强财政资金统筹。扎实推进全面实施预算绩效管理，强化绩效目标和运行监控管理，建立新增重大项目（政策）事前绩效评估机制。推进国有单位未办证资产权证办理，推进直管公房清理整顿。强化国有资产监管，提高国有资本运营效益。加强社保基金运行动态监测预警管理，着力防范社保基金运行风险。</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kern w:val="0"/>
          <w:sz w:val="32"/>
          <w:szCs w:val="32"/>
        </w:rPr>
        <w:t>（四）上半年财政预算执行中存在的问题</w:t>
      </w:r>
    </w:p>
    <w:p>
      <w:pPr>
        <w:pStyle w:val="2"/>
        <w:spacing w:line="520" w:lineRule="exact"/>
        <w:ind w:firstLine="640" w:firstLineChars="200"/>
        <w:jc w:val="both"/>
        <w:rPr>
          <w:rFonts w:hint="default" w:ascii="Times New Roman" w:hAnsi="Times New Roman"/>
          <w:kern w:val="2"/>
          <w:sz w:val="32"/>
          <w:szCs w:val="32"/>
        </w:rPr>
      </w:pPr>
      <w:r>
        <w:rPr>
          <w:rFonts w:hint="default" w:ascii="Times New Roman" w:hAnsi="Times New Roman"/>
          <w:kern w:val="2"/>
          <w:sz w:val="32"/>
          <w:szCs w:val="32"/>
        </w:rPr>
        <w:t>在当前经济下行压力下，叠加疫情冲击影响后，今年财政收支形势更加复杂，财政运行将承受更为严俊的减收增支“紧平衡”压力。财政预算执行过程中</w:t>
      </w:r>
      <w:r>
        <w:rPr>
          <w:rFonts w:ascii="Times New Roman" w:hAnsi="Times New Roman"/>
          <w:kern w:val="2"/>
          <w:sz w:val="32"/>
          <w:szCs w:val="32"/>
        </w:rPr>
        <w:t>存在</w:t>
      </w:r>
      <w:r>
        <w:rPr>
          <w:rFonts w:hint="default" w:ascii="Times New Roman" w:hAnsi="Times New Roman"/>
          <w:kern w:val="2"/>
          <w:sz w:val="32"/>
          <w:szCs w:val="32"/>
        </w:rPr>
        <w:t>的问题主要表现在：</w:t>
      </w:r>
    </w:p>
    <w:p>
      <w:pPr>
        <w:spacing w:line="520" w:lineRule="exact"/>
        <w:ind w:firstLine="643" w:firstLineChars="200"/>
        <w:rPr>
          <w:kern w:val="0"/>
          <w:sz w:val="32"/>
          <w:szCs w:val="32"/>
        </w:rPr>
      </w:pPr>
      <w:r>
        <w:rPr>
          <w:rFonts w:hint="eastAsia"/>
          <w:b/>
          <w:bCs/>
          <w:kern w:val="0"/>
          <w:sz w:val="32"/>
          <w:szCs w:val="32"/>
        </w:rPr>
        <w:t>1.</w:t>
      </w:r>
      <w:r>
        <w:rPr>
          <w:b/>
          <w:bCs/>
          <w:sz w:val="32"/>
          <w:szCs w:val="32"/>
        </w:rPr>
        <w:t>减收因素多，财政增收面临困难。</w:t>
      </w:r>
      <w:r>
        <w:rPr>
          <w:sz w:val="32"/>
          <w:szCs w:val="32"/>
        </w:rPr>
        <w:t>疫情造成的冲击叠加减税降费政策性减收影响，给组织收入工作带来异常严峻的挑战，</w:t>
      </w:r>
      <w:r>
        <w:rPr>
          <w:kern w:val="0"/>
          <w:sz w:val="32"/>
          <w:szCs w:val="32"/>
        </w:rPr>
        <w:t>与去年同期相比，今年1-6月我市财政总收入、地方财政收入增幅分别下降9和8个百分点。加之</w:t>
      </w:r>
      <w:r>
        <w:rPr>
          <w:rFonts w:hint="eastAsia"/>
          <w:kern w:val="0"/>
          <w:sz w:val="32"/>
          <w:szCs w:val="32"/>
        </w:rPr>
        <w:t>目前</w:t>
      </w:r>
      <w:r>
        <w:rPr>
          <w:kern w:val="0"/>
          <w:sz w:val="32"/>
          <w:szCs w:val="32"/>
        </w:rPr>
        <w:t>国内外疫情形势，产业链上游传导会对我市经济发展和财政收入产生</w:t>
      </w:r>
      <w:r>
        <w:rPr>
          <w:rFonts w:hint="eastAsia"/>
          <w:kern w:val="0"/>
          <w:sz w:val="32"/>
          <w:szCs w:val="32"/>
        </w:rPr>
        <w:t>一定</w:t>
      </w:r>
      <w:r>
        <w:rPr>
          <w:kern w:val="0"/>
          <w:sz w:val="32"/>
          <w:szCs w:val="32"/>
        </w:rPr>
        <w:t>影响，</w:t>
      </w:r>
      <w:r>
        <w:rPr>
          <w:rFonts w:hint="eastAsia"/>
          <w:kern w:val="0"/>
          <w:sz w:val="32"/>
          <w:szCs w:val="32"/>
        </w:rPr>
        <w:t>下半年将持续落实减税降费等系列政策，地方财政</w:t>
      </w:r>
      <w:r>
        <w:rPr>
          <w:kern w:val="0"/>
          <w:sz w:val="32"/>
          <w:szCs w:val="32"/>
        </w:rPr>
        <w:t>收入形势不容乐观。</w:t>
      </w:r>
    </w:p>
    <w:p>
      <w:pPr>
        <w:spacing w:line="520" w:lineRule="exact"/>
        <w:ind w:firstLine="643" w:firstLineChars="200"/>
        <w:rPr>
          <w:kern w:val="0"/>
          <w:sz w:val="32"/>
          <w:szCs w:val="32"/>
        </w:rPr>
      </w:pPr>
      <w:r>
        <w:rPr>
          <w:rFonts w:hint="eastAsia"/>
          <w:b/>
          <w:kern w:val="0"/>
          <w:sz w:val="32"/>
          <w:szCs w:val="32"/>
        </w:rPr>
        <w:t>2.</w:t>
      </w:r>
      <w:r>
        <w:rPr>
          <w:b/>
          <w:kern w:val="0"/>
          <w:sz w:val="32"/>
          <w:szCs w:val="32"/>
        </w:rPr>
        <w:t>刚性需求多，支出压力持续增大。</w:t>
      </w:r>
      <w:r>
        <w:rPr>
          <w:kern w:val="0"/>
          <w:sz w:val="32"/>
          <w:szCs w:val="32"/>
        </w:rPr>
        <w:t>刚性支出需求大，对财政收支平衡带来压力。</w:t>
      </w:r>
      <w:r>
        <w:rPr>
          <w:b/>
          <w:bCs/>
          <w:kern w:val="0"/>
          <w:sz w:val="32"/>
          <w:szCs w:val="32"/>
        </w:rPr>
        <w:t>一是</w:t>
      </w:r>
      <w:r>
        <w:rPr>
          <w:kern w:val="0"/>
          <w:sz w:val="32"/>
          <w:szCs w:val="32"/>
        </w:rPr>
        <w:t>社保基金运行困难，七项基金缺口逐年放大。随着疫情期间阶段性减免社保费政策逐步兑现到位，以及全国“两会”后减免政策的延长，今年社保基金缺口财政兜底压力更大。</w:t>
      </w:r>
      <w:r>
        <w:rPr>
          <w:b/>
          <w:bCs/>
          <w:kern w:val="0"/>
          <w:sz w:val="32"/>
          <w:szCs w:val="32"/>
        </w:rPr>
        <w:t>二是</w:t>
      </w:r>
      <w:r>
        <w:rPr>
          <w:kern w:val="0"/>
          <w:sz w:val="32"/>
          <w:szCs w:val="32"/>
        </w:rPr>
        <w:t>受政策调标和扩面等影响，我市“三保”支出规模逐年增大。按上级要求，原则上要利用一般公共预算资金来安排“三保”预算。但随着</w:t>
      </w:r>
      <w:r>
        <w:rPr>
          <w:rFonts w:hint="eastAsia"/>
          <w:kern w:val="0"/>
          <w:sz w:val="32"/>
          <w:szCs w:val="32"/>
        </w:rPr>
        <w:t>“</w:t>
      </w:r>
      <w:r>
        <w:rPr>
          <w:kern w:val="0"/>
          <w:sz w:val="32"/>
          <w:szCs w:val="32"/>
        </w:rPr>
        <w:t>三保</w:t>
      </w:r>
      <w:r>
        <w:rPr>
          <w:rFonts w:hint="eastAsia"/>
          <w:kern w:val="0"/>
          <w:sz w:val="32"/>
          <w:szCs w:val="32"/>
        </w:rPr>
        <w:t>”</w:t>
      </w:r>
      <w:r>
        <w:rPr>
          <w:kern w:val="0"/>
          <w:sz w:val="32"/>
          <w:szCs w:val="32"/>
        </w:rPr>
        <w:t>支出扩大，我市公共预算腾挪的空间和余地非常狭窄。</w:t>
      </w:r>
    </w:p>
    <w:p>
      <w:pPr>
        <w:spacing w:line="520" w:lineRule="exact"/>
        <w:ind w:firstLine="643" w:firstLineChars="200"/>
        <w:rPr>
          <w:kern w:val="0"/>
          <w:sz w:val="32"/>
          <w:szCs w:val="32"/>
        </w:rPr>
      </w:pPr>
      <w:r>
        <w:rPr>
          <w:rFonts w:hint="eastAsia"/>
          <w:b/>
          <w:kern w:val="0"/>
          <w:sz w:val="32"/>
          <w:szCs w:val="32"/>
        </w:rPr>
        <w:t>3.</w:t>
      </w:r>
      <w:r>
        <w:rPr>
          <w:b/>
          <w:kern w:val="0"/>
          <w:sz w:val="32"/>
          <w:szCs w:val="32"/>
        </w:rPr>
        <w:t>资金统筹难，项目进度有待提升。</w:t>
      </w:r>
      <w:r>
        <w:rPr>
          <w:kern w:val="0"/>
          <w:sz w:val="32"/>
          <w:szCs w:val="32"/>
        </w:rPr>
        <w:t>从上半年市级部门预算执行情况来看，虽然全市总体执行率超50%，但部分单位项目支出进度仍有待提升。预算执行进度慢的主要原因是项目推进慢造成资金闲置。预算执行进度长期落后说明部门预算安排不够科学，部门业务工作与预算安排不够协调，不仅如此，预算执行进度慢会带来存量资金规模偏大、财政资金统筹难等一系列问题。</w:t>
      </w:r>
    </w:p>
    <w:p>
      <w:pPr>
        <w:spacing w:line="520" w:lineRule="exact"/>
        <w:ind w:firstLine="640" w:firstLineChars="200"/>
        <w:rPr>
          <w:kern w:val="0"/>
          <w:sz w:val="32"/>
          <w:szCs w:val="32"/>
        </w:rPr>
      </w:pPr>
      <w:r>
        <w:rPr>
          <w:kern w:val="0"/>
          <w:sz w:val="32"/>
          <w:szCs w:val="32"/>
        </w:rPr>
        <w:t>针对上述问题，2020年我们继续以集中财力办大事财政管理体系为指导方向，加强财政资金统筹力度，全面提升资金使用绩效；进一步强化“政府过紧日子”理念，按上级政府要求继续开展“非刚性、非急需”项目压减，加大财政支出结构调整力度，确保财政收支平稳运行，加快实现建德经济高质量发展目标。</w:t>
      </w:r>
    </w:p>
    <w:p>
      <w:pPr>
        <w:spacing w:line="520" w:lineRule="exact"/>
        <w:ind w:firstLine="640" w:firstLineChars="200"/>
        <w:rPr>
          <w:kern w:val="0"/>
          <w:sz w:val="32"/>
          <w:szCs w:val="32"/>
        </w:rPr>
      </w:pPr>
      <w:r>
        <w:rPr>
          <w:kern w:val="0"/>
          <w:sz w:val="32"/>
          <w:szCs w:val="32"/>
        </w:rPr>
        <w:t>同时，在对人代会提出的审查意见和审计部门在审计中反映的问题，我们都会进行认真研究，积极会同有关部门采取切实有效的措施，加以纠正和改进，努力实现财政管理水平提质增效。</w:t>
      </w:r>
    </w:p>
    <w:p>
      <w:pPr>
        <w:spacing w:line="520" w:lineRule="exact"/>
        <w:ind w:firstLine="640" w:firstLineChars="200"/>
        <w:rPr>
          <w:kern w:val="0"/>
          <w:sz w:val="32"/>
          <w:szCs w:val="32"/>
        </w:rPr>
      </w:pPr>
    </w:p>
    <w:p>
      <w:pPr>
        <w:spacing w:line="520" w:lineRule="exact"/>
        <w:ind w:firstLine="640" w:firstLineChars="200"/>
        <w:rPr>
          <w:kern w:val="0"/>
          <w:sz w:val="32"/>
          <w:szCs w:val="32"/>
        </w:rPr>
      </w:pPr>
      <w:r>
        <w:rPr>
          <w:kern w:val="0"/>
          <w:sz w:val="32"/>
          <w:szCs w:val="32"/>
        </w:rPr>
        <w:t>主任、副主任、各位委员：</w:t>
      </w:r>
    </w:p>
    <w:p>
      <w:pPr>
        <w:spacing w:line="520" w:lineRule="exact"/>
        <w:ind w:firstLine="640" w:firstLineChars="200"/>
        <w:rPr>
          <w:kern w:val="0"/>
          <w:sz w:val="32"/>
          <w:szCs w:val="32"/>
        </w:rPr>
      </w:pPr>
      <w:r>
        <w:rPr>
          <w:kern w:val="0"/>
          <w:sz w:val="32"/>
          <w:szCs w:val="32"/>
        </w:rPr>
        <w:t>今年上半年，全市财政收支预算执行总体平稳，在下半年的工作中</w:t>
      </w:r>
      <w:r>
        <w:rPr>
          <w:rFonts w:hint="eastAsia"/>
          <w:kern w:val="0"/>
          <w:sz w:val="32"/>
          <w:szCs w:val="32"/>
        </w:rPr>
        <w:t>，</w:t>
      </w:r>
      <w:r>
        <w:rPr>
          <w:kern w:val="0"/>
          <w:sz w:val="32"/>
          <w:szCs w:val="32"/>
        </w:rPr>
        <w:t>我们将在市委的坚强领导下，在市人大的监督指导下，</w:t>
      </w:r>
      <w:r>
        <w:rPr>
          <w:rFonts w:hint="eastAsia"/>
          <w:kern w:val="0"/>
          <w:sz w:val="32"/>
          <w:szCs w:val="32"/>
        </w:rPr>
        <w:t>在市</w:t>
      </w:r>
      <w:r>
        <w:rPr>
          <w:kern w:val="0"/>
          <w:sz w:val="32"/>
          <w:szCs w:val="32"/>
        </w:rPr>
        <w:t>政协的大力支持下</w:t>
      </w:r>
      <w:r>
        <w:rPr>
          <w:rFonts w:hint="eastAsia"/>
          <w:kern w:val="0"/>
          <w:sz w:val="32"/>
          <w:szCs w:val="32"/>
        </w:rPr>
        <w:t>，</w:t>
      </w:r>
      <w:r>
        <w:rPr>
          <w:kern w:val="0"/>
          <w:sz w:val="32"/>
          <w:szCs w:val="32"/>
        </w:rPr>
        <w:t>克难攻坚，锐意进取，化挑战为机遇，变压力为动力，切实发挥财政职能作用，把“重要窗口”的底线守得更牢、根基夯得更实，为推进全市经济社会实现更高质量发展，加快实现建德新崛起作出更大的贡献！</w:t>
      </w:r>
    </w:p>
    <w:p>
      <w:pPr>
        <w:spacing w:line="520" w:lineRule="exact"/>
        <w:ind w:firstLine="640" w:firstLineChars="200"/>
        <w:rPr>
          <w:kern w:val="0"/>
          <w:sz w:val="32"/>
          <w:szCs w:val="32"/>
        </w:rPr>
      </w:pPr>
      <w:r>
        <w:rPr>
          <w:kern w:val="0"/>
          <w:sz w:val="32"/>
          <w:szCs w:val="32"/>
        </w:rPr>
        <w:t>以上报告，请予审议。</w:t>
      </w:r>
    </w:p>
    <w:p>
      <w:pPr>
        <w:spacing w:line="520" w:lineRule="exact"/>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pStyle w:val="2"/>
        <w:rPr>
          <w:rFonts w:ascii="仿宋_GB2312" w:hAnsi="宋体"/>
          <w:b/>
          <w:bCs/>
          <w:sz w:val="44"/>
          <w:szCs w:val="44"/>
        </w:rPr>
      </w:pPr>
    </w:p>
    <w:p>
      <w:pPr>
        <w:pStyle w:val="2"/>
        <w:rPr>
          <w:rFonts w:ascii="仿宋_GB2312" w:hAnsi="宋体"/>
          <w:b/>
          <w:bCs/>
          <w:sz w:val="44"/>
          <w:szCs w:val="44"/>
        </w:rPr>
      </w:pPr>
    </w:p>
    <w:tbl>
      <w:tblPr>
        <w:tblStyle w:val="11"/>
        <w:tblW w:w="10120" w:type="dxa"/>
        <w:jc w:val="center"/>
        <w:tblInd w:w="-1304" w:type="dxa"/>
        <w:tblLayout w:type="fixed"/>
        <w:tblCellMar>
          <w:top w:w="15" w:type="dxa"/>
          <w:left w:w="15" w:type="dxa"/>
          <w:bottom w:w="15" w:type="dxa"/>
          <w:right w:w="15" w:type="dxa"/>
        </w:tblCellMar>
      </w:tblPr>
      <w:tblGrid>
        <w:gridCol w:w="2582"/>
        <w:gridCol w:w="890"/>
        <w:gridCol w:w="890"/>
        <w:gridCol w:w="910"/>
        <w:gridCol w:w="910"/>
        <w:gridCol w:w="840"/>
        <w:gridCol w:w="841"/>
        <w:gridCol w:w="796"/>
        <w:gridCol w:w="1461"/>
      </w:tblGrid>
      <w:tr>
        <w:tblPrEx>
          <w:tblLayout w:type="fixed"/>
          <w:tblCellMar>
            <w:top w:w="15" w:type="dxa"/>
            <w:left w:w="15" w:type="dxa"/>
            <w:bottom w:w="15" w:type="dxa"/>
            <w:right w:w="15" w:type="dxa"/>
          </w:tblCellMar>
        </w:tblPrEx>
        <w:trPr>
          <w:trHeight w:val="286" w:hRule="atLeast"/>
          <w:jc w:val="center"/>
        </w:trPr>
        <w:tc>
          <w:tcPr>
            <w:tcW w:w="2582" w:type="dxa"/>
            <w:shd w:val="clear" w:color="auto" w:fill="auto"/>
            <w:vAlign w:val="center"/>
          </w:tcPr>
          <w:p>
            <w:pPr>
              <w:widowControl/>
              <w:jc w:val="left"/>
              <w:textAlignment w:val="center"/>
              <w:rPr>
                <w:rFonts w:ascii="宋体" w:hAnsi="宋体" w:eastAsia="宋体" w:cs="宋体"/>
                <w:color w:val="000000"/>
                <w:sz w:val="22"/>
                <w:szCs w:val="22"/>
              </w:rPr>
            </w:pPr>
          </w:p>
        </w:tc>
        <w:tc>
          <w:tcPr>
            <w:tcW w:w="890" w:type="dxa"/>
            <w:shd w:val="clear" w:color="auto" w:fill="auto"/>
            <w:vAlign w:val="center"/>
          </w:tcPr>
          <w:p>
            <w:pPr>
              <w:rPr>
                <w:rFonts w:ascii="宋体" w:hAnsi="宋体" w:eastAsia="宋体" w:cs="宋体"/>
                <w:color w:val="000000"/>
                <w:sz w:val="24"/>
              </w:rPr>
            </w:pPr>
          </w:p>
        </w:tc>
        <w:tc>
          <w:tcPr>
            <w:tcW w:w="890" w:type="dxa"/>
            <w:shd w:val="clear" w:color="auto" w:fill="auto"/>
            <w:vAlign w:val="center"/>
          </w:tcPr>
          <w:p>
            <w:pPr>
              <w:rPr>
                <w:rFonts w:ascii="宋体" w:hAnsi="宋体" w:eastAsia="宋体" w:cs="宋体"/>
                <w:color w:val="000000"/>
                <w:sz w:val="24"/>
              </w:rPr>
            </w:pPr>
          </w:p>
        </w:tc>
        <w:tc>
          <w:tcPr>
            <w:tcW w:w="910" w:type="dxa"/>
            <w:shd w:val="clear" w:color="auto" w:fill="auto"/>
            <w:vAlign w:val="center"/>
          </w:tcPr>
          <w:p>
            <w:pPr>
              <w:rPr>
                <w:rFonts w:ascii="宋体" w:hAnsi="宋体" w:eastAsia="宋体" w:cs="宋体"/>
                <w:color w:val="000000"/>
                <w:sz w:val="24"/>
              </w:rPr>
            </w:pPr>
          </w:p>
        </w:tc>
        <w:tc>
          <w:tcPr>
            <w:tcW w:w="910" w:type="dxa"/>
            <w:shd w:val="clear" w:color="auto" w:fill="auto"/>
            <w:vAlign w:val="center"/>
          </w:tcPr>
          <w:p>
            <w:pPr>
              <w:rPr>
                <w:rFonts w:ascii="宋体" w:hAnsi="宋体" w:eastAsia="宋体" w:cs="宋体"/>
                <w:color w:val="000000"/>
                <w:sz w:val="24"/>
              </w:rPr>
            </w:pPr>
          </w:p>
        </w:tc>
        <w:tc>
          <w:tcPr>
            <w:tcW w:w="840" w:type="dxa"/>
            <w:shd w:val="clear" w:color="auto" w:fill="auto"/>
            <w:vAlign w:val="center"/>
          </w:tcPr>
          <w:p>
            <w:pPr>
              <w:rPr>
                <w:rFonts w:ascii="宋体" w:hAnsi="宋体" w:eastAsia="宋体" w:cs="宋体"/>
                <w:color w:val="000000"/>
                <w:sz w:val="24"/>
              </w:rPr>
            </w:pPr>
          </w:p>
        </w:tc>
        <w:tc>
          <w:tcPr>
            <w:tcW w:w="841" w:type="dxa"/>
            <w:shd w:val="clear" w:color="auto" w:fill="auto"/>
            <w:vAlign w:val="center"/>
          </w:tcPr>
          <w:p>
            <w:pPr>
              <w:rPr>
                <w:rFonts w:ascii="宋体" w:hAnsi="宋体" w:eastAsia="宋体" w:cs="宋体"/>
                <w:color w:val="000000"/>
                <w:sz w:val="24"/>
              </w:rPr>
            </w:pPr>
          </w:p>
        </w:tc>
        <w:tc>
          <w:tcPr>
            <w:tcW w:w="796" w:type="dxa"/>
            <w:shd w:val="clear" w:color="auto" w:fill="auto"/>
            <w:vAlign w:val="center"/>
          </w:tcPr>
          <w:p>
            <w:pPr>
              <w:rPr>
                <w:rFonts w:ascii="宋体" w:hAnsi="宋体" w:eastAsia="宋体" w:cs="宋体"/>
                <w:color w:val="000000"/>
                <w:sz w:val="24"/>
              </w:rPr>
            </w:pPr>
          </w:p>
        </w:tc>
        <w:tc>
          <w:tcPr>
            <w:tcW w:w="1461" w:type="dxa"/>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jc w:val="center"/>
        </w:trPr>
        <w:tc>
          <w:tcPr>
            <w:tcW w:w="10120" w:type="dxa"/>
            <w:gridSpan w:val="9"/>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建德市2019年一般公共预算收入决算表</w:t>
            </w:r>
          </w:p>
        </w:tc>
      </w:tr>
      <w:tr>
        <w:tblPrEx>
          <w:tblLayout w:type="fixed"/>
          <w:tblCellMar>
            <w:top w:w="15" w:type="dxa"/>
            <w:left w:w="15" w:type="dxa"/>
            <w:bottom w:w="15" w:type="dxa"/>
            <w:right w:w="15" w:type="dxa"/>
          </w:tblCellMar>
        </w:tblPrEx>
        <w:trPr>
          <w:trHeight w:val="360" w:hRule="atLeast"/>
          <w:jc w:val="center"/>
        </w:trPr>
        <w:tc>
          <w:tcPr>
            <w:tcW w:w="10120" w:type="dxa"/>
            <w:gridSpan w:val="9"/>
            <w:tcBorders>
              <w:bottom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单位：万元</w:t>
            </w:r>
          </w:p>
        </w:tc>
      </w:tr>
      <w:tr>
        <w:tblPrEx>
          <w:tblLayout w:type="fixed"/>
          <w:tblCellMar>
            <w:top w:w="15" w:type="dxa"/>
            <w:left w:w="15" w:type="dxa"/>
            <w:bottom w:w="15" w:type="dxa"/>
            <w:right w:w="15" w:type="dxa"/>
          </w:tblCellMar>
        </w:tblPrEx>
        <w:trPr>
          <w:trHeight w:val="375" w:hRule="atLeast"/>
          <w:jc w:val="center"/>
        </w:trPr>
        <w:tc>
          <w:tcPr>
            <w:tcW w:w="2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预算科目及项目</w:t>
            </w:r>
          </w:p>
        </w:tc>
        <w:tc>
          <w:tcPr>
            <w:tcW w:w="178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上年实绩</w:t>
            </w:r>
          </w:p>
        </w:tc>
        <w:tc>
          <w:tcPr>
            <w:tcW w:w="1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本年预算</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本年决算数</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完成预算的%</w:t>
            </w: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比上年同期增减%</w:t>
            </w:r>
          </w:p>
        </w:tc>
      </w:tr>
      <w:tr>
        <w:tblPrEx>
          <w:tblLayout w:type="fixed"/>
          <w:tblCellMar>
            <w:top w:w="15" w:type="dxa"/>
            <w:left w:w="15" w:type="dxa"/>
            <w:bottom w:w="15" w:type="dxa"/>
            <w:right w:w="15" w:type="dxa"/>
          </w:tblCellMar>
        </w:tblPrEx>
        <w:trPr>
          <w:trHeight w:val="405" w:hRule="atLeast"/>
          <w:jc w:val="center"/>
        </w:trPr>
        <w:tc>
          <w:tcPr>
            <w:tcW w:w="2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20"/>
                <w:szCs w:val="20"/>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全市汇总</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市本级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全市汇总</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市本级</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全市汇总</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市本级</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20"/>
                <w:szCs w:val="20"/>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A.地方一般公共预算收入小计</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282707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182938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311000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201257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311008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197312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1.税收收入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249284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149515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274426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164683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282837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169140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103.1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13.5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（1）增值税(</w:t>
            </w:r>
            <w:r>
              <w:rPr>
                <w:rStyle w:val="16"/>
                <w:rFonts w:hint="default"/>
              </w:rPr>
              <w:t>50%)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126228</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59601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115070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43480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117646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48525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102.2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-6.8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（2）企业所得税(40%)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43841</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31773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63956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46810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59234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40216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92.6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35.1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（3）个人所得税(40%)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17848</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12728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11653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9312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13673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11067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117.3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-23.4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（4）城市维护建设税</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18397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18397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15315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102.1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-16.8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（5）耕地占用税</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1015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101.5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2155.6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（6）契税</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3784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3784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22047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22047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107.5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482.6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（7）其他地方各税</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39141</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23187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47247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28581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53907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30955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114.1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37.7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2.非税收入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33423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33423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36574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36574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28171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28171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77.0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-15.7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（1）专项收入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27001</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27001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21477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21477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21136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21136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98.4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-21.7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①教育费附加收入（90%）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8507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8507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7200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7181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7181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99.7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-15.6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②地方教育附加收入（90%）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5674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5674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4770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4770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4795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4795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100.5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-15.5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③其他专项收入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12820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12820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9507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9507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9160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9160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96.4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-28.5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（2）行政事业性收费收入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2730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2730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2460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98.4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-9.9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（3）罚没收入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5893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5893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7609</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7609</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101.5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29.1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（4）国有企业计划亏损补贴</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0.0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（5）政府住房基金收入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-78.6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（6）国有资源有偿使用收入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1538</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9797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9797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1463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1463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14.9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-4.9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（7）其他收入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B.税收返还收入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20183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0.0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C.上级一般转移支付收入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132008</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132008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126359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126359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170096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170096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134.6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28.9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D.调入资金</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31774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31774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46000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46000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56698</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56698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123.3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78.4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E.上级专项转移支付收入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87151</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87151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54032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54032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57883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57883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107.1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-33.6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F.动用预算稳定基金</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18280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18280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15000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15000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15000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-17.9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G.上年结转</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43664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36079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53166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40870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53166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40870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21.8 </w:t>
            </w: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H.债务(转贷)收入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118000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118000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118000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118000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I.乡镇街道上解收入</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60089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FF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59383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59383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375" w:hRule="atLeast"/>
          <w:jc w:val="center"/>
        </w:trPr>
        <w:tc>
          <w:tcPr>
            <w:tcW w:w="2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收入合计</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615767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568502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743740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681084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802034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735425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107.8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30.2 </w:t>
            </w:r>
          </w:p>
        </w:tc>
      </w:tr>
    </w:tbl>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tbl>
      <w:tblPr>
        <w:tblStyle w:val="11"/>
        <w:tblW w:w="11340" w:type="dxa"/>
        <w:jc w:val="center"/>
        <w:tblInd w:w="-1502" w:type="dxa"/>
        <w:tblLayout w:type="fixed"/>
        <w:tblCellMar>
          <w:top w:w="15" w:type="dxa"/>
          <w:left w:w="15" w:type="dxa"/>
          <w:bottom w:w="15" w:type="dxa"/>
          <w:right w:w="15" w:type="dxa"/>
        </w:tblCellMar>
      </w:tblPr>
      <w:tblGrid>
        <w:gridCol w:w="735"/>
        <w:gridCol w:w="3121"/>
        <w:gridCol w:w="735"/>
        <w:gridCol w:w="750"/>
        <w:gridCol w:w="855"/>
        <w:gridCol w:w="900"/>
        <w:gridCol w:w="990"/>
        <w:gridCol w:w="1035"/>
        <w:gridCol w:w="585"/>
        <w:gridCol w:w="1634"/>
      </w:tblGrid>
      <w:tr>
        <w:tblPrEx>
          <w:tblLayout w:type="fixed"/>
          <w:tblCellMar>
            <w:top w:w="15" w:type="dxa"/>
            <w:left w:w="15" w:type="dxa"/>
            <w:bottom w:w="15" w:type="dxa"/>
            <w:right w:w="15" w:type="dxa"/>
          </w:tblCellMar>
        </w:tblPrEx>
        <w:trPr>
          <w:trHeight w:val="540" w:hRule="atLeast"/>
          <w:jc w:val="center"/>
        </w:trPr>
        <w:tc>
          <w:tcPr>
            <w:tcW w:w="735" w:type="dxa"/>
            <w:shd w:val="clear" w:color="auto" w:fill="auto"/>
            <w:vAlign w:val="center"/>
          </w:tcPr>
          <w:p>
            <w:pPr>
              <w:jc w:val="center"/>
              <w:rPr>
                <w:rFonts w:ascii="宋体" w:hAnsi="宋体" w:eastAsia="宋体" w:cs="宋体"/>
                <w:b/>
                <w:color w:val="auto"/>
                <w:sz w:val="24"/>
                <w:u w:val="none"/>
              </w:rPr>
            </w:pPr>
          </w:p>
        </w:tc>
        <w:tc>
          <w:tcPr>
            <w:tcW w:w="10605" w:type="dxa"/>
            <w:gridSpan w:val="9"/>
            <w:shd w:val="clear" w:color="auto" w:fill="auto"/>
            <w:vAlign w:val="center"/>
          </w:tcPr>
          <w:p>
            <w:pPr>
              <w:widowControl/>
              <w:jc w:val="center"/>
              <w:textAlignment w:val="center"/>
              <w:rPr>
                <w:rFonts w:ascii="宋体" w:hAnsi="宋体" w:eastAsia="宋体" w:cs="宋体"/>
                <w:b/>
                <w:color w:val="auto"/>
                <w:sz w:val="27"/>
                <w:szCs w:val="27"/>
                <w:u w:val="none"/>
              </w:rPr>
            </w:pPr>
            <w:r>
              <w:rPr>
                <w:rFonts w:ascii="宋体" w:hAnsi="宋体" w:eastAsia="宋体" w:cs="宋体"/>
                <w:b/>
                <w:color w:val="auto"/>
                <w:kern w:val="0"/>
                <w:sz w:val="27"/>
                <w:szCs w:val="27"/>
                <w:u w:val="none"/>
              </w:rPr>
              <w:t>建德市2019年一般公共预算支出执行表</w:t>
            </w:r>
          </w:p>
        </w:tc>
      </w:tr>
      <w:tr>
        <w:tblPrEx>
          <w:tblLayout w:type="fixed"/>
          <w:tblCellMar>
            <w:top w:w="15" w:type="dxa"/>
            <w:left w:w="15" w:type="dxa"/>
            <w:bottom w:w="15" w:type="dxa"/>
            <w:right w:w="15" w:type="dxa"/>
          </w:tblCellMar>
        </w:tblPrEx>
        <w:trPr>
          <w:trHeight w:val="286" w:hRule="atLeast"/>
          <w:jc w:val="center"/>
        </w:trPr>
        <w:tc>
          <w:tcPr>
            <w:tcW w:w="735" w:type="dxa"/>
            <w:shd w:val="clear" w:color="auto" w:fill="auto"/>
            <w:vAlign w:val="center"/>
          </w:tcPr>
          <w:p>
            <w:pPr>
              <w:jc w:val="left"/>
              <w:rPr>
                <w:rFonts w:ascii="宋体" w:hAnsi="宋体" w:eastAsia="宋体" w:cs="宋体"/>
                <w:color w:val="auto"/>
                <w:sz w:val="18"/>
                <w:szCs w:val="18"/>
                <w:u w:val="none"/>
              </w:rPr>
            </w:pPr>
          </w:p>
        </w:tc>
        <w:tc>
          <w:tcPr>
            <w:tcW w:w="3121" w:type="dxa"/>
            <w:shd w:val="clear" w:color="auto" w:fill="auto"/>
            <w:vAlign w:val="center"/>
          </w:tcPr>
          <w:p>
            <w:pPr>
              <w:jc w:val="left"/>
              <w:rPr>
                <w:rFonts w:ascii="宋体" w:hAnsi="宋体" w:eastAsia="宋体" w:cs="宋体"/>
                <w:color w:val="auto"/>
                <w:sz w:val="18"/>
                <w:szCs w:val="18"/>
                <w:u w:val="none"/>
              </w:rPr>
            </w:pPr>
          </w:p>
        </w:tc>
        <w:tc>
          <w:tcPr>
            <w:tcW w:w="735" w:type="dxa"/>
            <w:shd w:val="clear" w:color="auto" w:fill="auto"/>
            <w:vAlign w:val="center"/>
          </w:tcPr>
          <w:p>
            <w:pPr>
              <w:rPr>
                <w:rFonts w:ascii="宋体" w:hAnsi="宋体" w:eastAsia="宋体" w:cs="宋体"/>
                <w:color w:val="auto"/>
                <w:sz w:val="24"/>
                <w:u w:val="none"/>
              </w:rPr>
            </w:pPr>
          </w:p>
        </w:tc>
        <w:tc>
          <w:tcPr>
            <w:tcW w:w="750" w:type="dxa"/>
            <w:shd w:val="clear" w:color="auto" w:fill="auto"/>
            <w:vAlign w:val="center"/>
          </w:tcPr>
          <w:p>
            <w:pPr>
              <w:rPr>
                <w:rFonts w:ascii="宋体" w:hAnsi="宋体" w:eastAsia="宋体" w:cs="宋体"/>
                <w:color w:val="auto"/>
                <w:sz w:val="24"/>
                <w:u w:val="none"/>
              </w:rPr>
            </w:pPr>
          </w:p>
        </w:tc>
        <w:tc>
          <w:tcPr>
            <w:tcW w:w="855" w:type="dxa"/>
            <w:shd w:val="clear" w:color="auto" w:fill="auto"/>
            <w:vAlign w:val="center"/>
          </w:tcPr>
          <w:p>
            <w:pPr>
              <w:rPr>
                <w:rFonts w:ascii="宋体" w:hAnsi="宋体" w:eastAsia="宋体" w:cs="宋体"/>
                <w:color w:val="auto"/>
                <w:sz w:val="24"/>
                <w:u w:val="none"/>
              </w:rPr>
            </w:pPr>
          </w:p>
        </w:tc>
        <w:tc>
          <w:tcPr>
            <w:tcW w:w="900" w:type="dxa"/>
            <w:shd w:val="clear" w:color="auto" w:fill="auto"/>
            <w:vAlign w:val="center"/>
          </w:tcPr>
          <w:p>
            <w:pPr>
              <w:jc w:val="left"/>
              <w:rPr>
                <w:rFonts w:ascii="宋体" w:hAnsi="宋体" w:eastAsia="宋体" w:cs="宋体"/>
                <w:color w:val="auto"/>
                <w:sz w:val="18"/>
                <w:szCs w:val="18"/>
                <w:u w:val="none"/>
              </w:rPr>
            </w:pPr>
          </w:p>
        </w:tc>
        <w:tc>
          <w:tcPr>
            <w:tcW w:w="990" w:type="dxa"/>
            <w:shd w:val="clear" w:color="auto" w:fill="auto"/>
            <w:vAlign w:val="center"/>
          </w:tcPr>
          <w:p>
            <w:pPr>
              <w:rPr>
                <w:rFonts w:ascii="宋体" w:hAnsi="宋体" w:eastAsia="宋体" w:cs="宋体"/>
                <w:color w:val="auto"/>
                <w:sz w:val="24"/>
                <w:u w:val="none"/>
              </w:rPr>
            </w:pPr>
          </w:p>
        </w:tc>
        <w:tc>
          <w:tcPr>
            <w:tcW w:w="1035" w:type="dxa"/>
            <w:shd w:val="clear" w:color="auto" w:fill="auto"/>
            <w:vAlign w:val="center"/>
          </w:tcPr>
          <w:p>
            <w:pPr>
              <w:jc w:val="right"/>
              <w:rPr>
                <w:rFonts w:ascii="宋体" w:hAnsi="宋体" w:eastAsia="宋体" w:cs="宋体"/>
                <w:color w:val="auto"/>
                <w:sz w:val="18"/>
                <w:szCs w:val="18"/>
                <w:u w:val="none"/>
              </w:rPr>
            </w:pPr>
          </w:p>
        </w:tc>
        <w:tc>
          <w:tcPr>
            <w:tcW w:w="585" w:type="dxa"/>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金额：</w:t>
            </w:r>
          </w:p>
        </w:tc>
        <w:tc>
          <w:tcPr>
            <w:tcW w:w="1634" w:type="dxa"/>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万元</w:t>
            </w:r>
          </w:p>
        </w:tc>
      </w:tr>
      <w:tr>
        <w:tblPrEx>
          <w:tblLayout w:type="fixed"/>
          <w:tblCellMar>
            <w:top w:w="15" w:type="dxa"/>
            <w:left w:w="15" w:type="dxa"/>
            <w:bottom w:w="15" w:type="dxa"/>
            <w:right w:w="15" w:type="dxa"/>
          </w:tblCellMar>
        </w:tblPrEx>
        <w:trPr>
          <w:trHeight w:val="40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功能科目代码</w:t>
            </w:r>
          </w:p>
        </w:tc>
        <w:tc>
          <w:tcPr>
            <w:tcW w:w="3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预算科目及项目</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上年实绩</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本年支出指标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本年决算数</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为支出指标的%</w:t>
            </w:r>
          </w:p>
        </w:tc>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比上年增减%</w:t>
            </w:r>
          </w:p>
        </w:tc>
      </w:tr>
      <w:tr>
        <w:tblPrEx>
          <w:tblLayout w:type="fixed"/>
          <w:tblCellMar>
            <w:top w:w="15" w:type="dxa"/>
            <w:left w:w="15" w:type="dxa"/>
            <w:bottom w:w="15" w:type="dxa"/>
            <w:right w:w="15" w:type="dxa"/>
          </w:tblCellMar>
        </w:tblPrEx>
        <w:trPr>
          <w:trHeight w:val="57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3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全市汇总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市本级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全市汇总</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市本级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全市汇总</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市本级</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显示</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A.地方一般公共预算支出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477113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395542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587152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477032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541505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447889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92.2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一般公共服务支出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50295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29249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53748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31513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51247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31292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95.3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1277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1276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人大会议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人大代表履职能力提升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代表工作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其他人大事务支出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政协事务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政协会议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委员视察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参政议政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其他政协事务支出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政府办公厅（室）及相关机构事务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23349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24902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22666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17894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2887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机关服务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信访事务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其他政府办公厅（室）及相关机构事务支出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发展与改革事务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物价管理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其他发展与改革事务支出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统计信息事务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机关服务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专项统计业务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专项普查活动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统计抽样调查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其他统计信息事务支出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预算改革业务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财政监察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其他财政事务支出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审计事务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审计业务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人力资源事务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其他人力资源事务支出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纪检监察事务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大案要案查处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派驻派出机构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其他纪检监察事务支出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商贸事务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档案事务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档案馆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民主党派及工商联事务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群众团体事务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其他群众团体事务支出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党委办公厅(室)及相关机构事务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其他党委办公厅(室)及相关机构事务支出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组织事务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公务员事务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其他组织事务支出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宣传事务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其他宣传事务支出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统战事务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华侨事务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其他统战事务支出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其他共产党事务支出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其他共产党事务支出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市场监督管理事务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4753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市场监督管理专项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其他市场监督管理事务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其他一般公共服务支出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其他一般公共服务支出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国防支出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国防动员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人民防空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其他国防支出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其他国防支出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公共安全支出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27326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26198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30795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28817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30432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28635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98.8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11.4</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武装警察部队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其他武装警察部队支出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公安</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18837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17709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21891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19881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15617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2040219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信息化建设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2040220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执法办案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2040221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特别业务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检察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检察监督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其他检察支出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法院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4907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案件审判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“两庭”建设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司法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1549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1549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基层司法业务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普法宣传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法律援助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社区矫正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其他司法支出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90001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86248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99031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94502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96314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92484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97.3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普通教育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75123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80951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83079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80951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学前教育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9294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9268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小学教育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26032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25689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29896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29575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29867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29575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初中教育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20993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23352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高中教育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15190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15190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其他普通教育支出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职业教育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4186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4186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中专教育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技校教育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职业高中教育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其他职业教育支出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成人初等教育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成人中等教育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其他成人教育支出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广播电视学校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特殊教育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2050701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特殊学校教育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进修及培训</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干部教育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培训支出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其他进修及培训</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教育费附加安排的支出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其他教育费附加安排的支出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科学技术支出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20271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17916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28520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22695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26304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22371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92.2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科学技术管理事务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技术研究与开发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6448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机构运行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应用技术研究与开发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产业技术研究与开发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其他技术研究与开发支出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3499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科技条件与服务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机构运行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社会科学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社会科学研究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科学技术普及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科普活动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其他科学技术普及支出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22590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科技奖励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22585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文化旅游体育与传媒支出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9605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6891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12120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8419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10564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87.2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文化和旅游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图书馆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群众文化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文化创作与保护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文化和旅游市场管理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旅游行业业务管理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其他文化和旅游支出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文物保护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历史名城与古迹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体育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其他体育支出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新闻出版电影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其他新闻出版电影支出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电视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其他广播电视支出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其他文化体育与传媒支出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3569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文化产业发展专项支出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其他文化体育与传媒支出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3159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社会保障和就业支出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56935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54070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63940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61170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62370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59831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97.5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人力资源和社会保障管理事务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就业管理事务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社会保险业务管理事务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社会保险经办机构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其他人力资源和社会保障管理事务支出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民间组织管理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行政区划和地名管理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基层政权和社区建设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其他民政管理事务支出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行政事业单位离退休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2080502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事业单位离退休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就业补助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其他就业补助支出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抚恤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在乡复员、退伍军人生活补助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义务兵优待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其他优抚支出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3084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退役安置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退役士兵安置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军队移交政府的离退休人员安置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军队移交政府离退休干部管理机构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退役士兵管理教育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其他退役安置支出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社会福利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171.4</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儿童福利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老年福利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社会福利事业单位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其他社会福利支出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残疾人事业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4603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残疾人康复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残疾人就业和扶贫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残疾人体育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残疾人生活和护理补贴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其他残疾人事业支出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红十字事业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其他红十字事业支出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最低生活保障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8261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城市最低生活保障金支出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农村最低生活保障金支出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临时救助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临时救助支出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流浪乞讨人员救助支出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特困人员救助供养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城市特困人员救助供养支出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农村五保救助供养支出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其他生活救助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2082502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其他农村生活救助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财政对基本养老保险基金的补助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财政对城乡居民基本养老保险基金的补助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财政对其他社会保险基金的补助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其他财政对社会保险基金的补助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退役军人管理事务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拥军优属</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其他社会保障和就业支出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其他社会保障和就业支出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卫生健康支出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37229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33920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44421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38555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43395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38188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97.7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16.6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卫生健康管理事务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公立医院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4645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其他公立医院支出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基层医疗卫生机构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城市社区卫生机构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乡镇卫生院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其他基层医疗卫生机构支出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公共卫生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4677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疾病预防控制机构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卫生监督机构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妇幼保健机构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基本公共卫生服务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重大公共卫生专项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突发公共卫生事件应急处理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其他公共卫生支出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中医药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中医（民族医）药专项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计划生育事务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2100717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计划生育服务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其他计划生育事务支出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行政事业单位医疗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行政单位医疗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事业单位医疗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公务员医疗补助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其他行政事业单位医疗支出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财政对基本医疗保险基金的补助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6356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财政对职工基本医疗保险基金的补助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财政对城乡居民基本医疗保险基金的补助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6072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财政对其他基本医疗保险基金的补助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医疗救助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5044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城乡医疗救助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其他医疗救助支出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优抚对象医疗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优抚对象医疗补助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医疗保障管理事务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信息化建设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医疗保障政策管理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老龄卫生健康事务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老龄卫生健康事务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7897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7897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节能环保支出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17256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9733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11425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9462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6513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82.8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-45.2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环境保护管理事务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生态环境保护宣传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其他环境保护管理事务支出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污染防治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大气</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其他污染防治支出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自然生态保护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8382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农村环境保护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2586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天然林保护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2110507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停伐补助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污染减排</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生态环境监测与信息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减排专项支出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其他污染减排支出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可再生能源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可再生能源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循环经济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循环经济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其他节能环保支出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其他节能环保支出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城乡社区支出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34943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25639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51360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24673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48325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24476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94.1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38.3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5849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4781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4509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城管执法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工程建设管理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住宅建设与房地产市场监管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其他城乡社区管理事务支出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5485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城乡社区规划与管理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城乡社区规划与管理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城乡社区公共设施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小城镇基础设施建设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2908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其他城乡社区公共设施支出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城乡社区环境卫生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4503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城乡社区环境卫生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4503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建设市场管理与监督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建设市场管理与监督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20921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17864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16952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17864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16952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农林水支出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65302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45582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87168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62051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74815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54778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85.8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14.6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17368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102.0</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科技转化与推广服务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病虫害控制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农产品质量安全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统计监测与信息服务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农业行业业务管理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防灾救灾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2130122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农业生产支持补贴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2130135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农业资源保护修复与利用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2130148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成品油价格改革对渔业的补贴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2130152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对高校毕业生到基层任职补助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其他农业支出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3209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11279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林业和草原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11797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0.8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森林培育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森林资源管理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森林生态效益补偿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2130211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动植物保护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2130213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执法与监督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2130234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防灾减灾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其他林业和草原支出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3679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15573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20077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水利行业业务管理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水利工程建设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水利工程运行与维护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水利执法监督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水土保持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2130314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防汛</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2130321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大中型水库移民后期扶持专项支出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2130334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水利建设移民支出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其他水利支出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8452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17652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16992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扶贫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-71.6</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2130599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其他扶贫支出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农业综合开发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土地治理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其他农业综合开发支出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农村综合改革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对村级一事一议的补助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对村民委员会和村党支部的补助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2319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对村集体经济组织的补助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农村综合改革示范试点补助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其他农村综合改革支出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普惠金融发展支出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农业保险保费补贴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其他普惠金额发展支出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其他农林水事务支出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25097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17601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其他农林水支出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10737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25097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17601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交通运输支出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14497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13989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23383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22778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19898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19468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85.1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37.3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公路水路运输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公路建设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公路养护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公路和运输安全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其他公路水路运输支出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9439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9149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成品油价格改革对交通运输的补贴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对城市公交的补贴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对农村道路客运的补贴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对出租车的补贴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成品油价格改革补贴其他支出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7983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车辆购置税用于公路等基础设施建设支出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车辆购置税用于农村公路建设支出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资源勘探信息等支出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2106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1573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82.7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-25.3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资源勘探开发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工业和信息产业监管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2150510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工业和信息产业支持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支持中小企业发展和管理支出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619.7</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中小企业发展专项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其他支持中小企业发展和管理支出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其他资源勘探信息等支出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293.5</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其他资源勘探信息等支出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商业服务业等支出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4690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4140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3647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3397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商业流通事务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其他商业流通事务支出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涉外发展服务支出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其他涉外发展服务支出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其他商业服务业等支出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2169999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其他商业服务业等支出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金融支出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其他金融支出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2179901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其他金融支出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援助其他地区支出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1034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自然资源海洋气象等支出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9661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6155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35439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32591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24905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22405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157.8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自然资源事务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9189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8397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10097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1293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土地资源利用与保护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测绘事务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2200304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基础测绘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气象事业机构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2200510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气象装备保障维护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其他气象事务支出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其他自然资源海洋气象等支出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24173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23778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13939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其他自然资源海洋气象等支出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24173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23778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13939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住房保障支出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11794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10758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11980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10431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11835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10431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98.8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0.3</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保障性安居工程支出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2478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棚户区改造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农村危房改造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保障性住房租金补贴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其他保障性安居工程支出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住房改革支出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6659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8790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住房公积金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7336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8565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购房补贴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城乡社区住宅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住房公积金管理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其他城乡社区住宅支出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1313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粮油物资储备支出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粮油事务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其他粮油事务支出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22205</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重要商品储备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2220503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肉类储备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灾害防治及应急管理支出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1203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1600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应急管理事务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安全监管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安全生产基础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应急管理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2240150</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其他应急管理支出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消防事务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2240299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其他消防事务支出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22406</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自然灾害防治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2240601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地质灾害防治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自然灾害救灾及恢复重建支出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2240704</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自然灾害灾后重建补助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其他自然灾害生活救助支出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其他支出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5985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3898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75.9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-64.2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22999</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5985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75.9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-64.2</w:t>
            </w: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2299901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5985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232</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债务付息支出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19470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19470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地方政府一般债务付息支出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2320301</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地方政府一般债券付息支出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债务发行费用支出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23303</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地方政府一般债务发行费用支出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30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B.债务还本支出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119054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119054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119054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119054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C.上解上级支出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70488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70488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77698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77698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77698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77698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D.安排预算稳定基金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18130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18130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18130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E.补助乡镇（街道）支出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46602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43511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43511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F.结转下年支出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53166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40870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45647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29143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45647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29143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G.调出资金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支出合计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615767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568502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802034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735425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802034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735425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bl>
    <w:p>
      <w:pPr>
        <w:tabs>
          <w:tab w:val="left" w:pos="3150"/>
        </w:tabs>
      </w:pPr>
    </w:p>
    <w:p>
      <w:pPr>
        <w:tabs>
          <w:tab w:val="left" w:pos="3150"/>
        </w:tabs>
      </w:pPr>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1"/>
        <w:tblW w:w="9313" w:type="dxa"/>
        <w:tblInd w:w="0" w:type="dxa"/>
        <w:tblLayout w:type="fixed"/>
        <w:tblCellMar>
          <w:top w:w="15" w:type="dxa"/>
          <w:left w:w="15" w:type="dxa"/>
          <w:bottom w:w="15" w:type="dxa"/>
          <w:right w:w="15" w:type="dxa"/>
        </w:tblCellMar>
      </w:tblPr>
      <w:tblGrid>
        <w:gridCol w:w="1996"/>
        <w:gridCol w:w="4051"/>
        <w:gridCol w:w="3266"/>
      </w:tblGrid>
      <w:tr>
        <w:tblPrEx>
          <w:tblLayout w:type="fixed"/>
          <w:tblCellMar>
            <w:top w:w="15" w:type="dxa"/>
            <w:left w:w="15" w:type="dxa"/>
            <w:bottom w:w="15" w:type="dxa"/>
            <w:right w:w="15" w:type="dxa"/>
          </w:tblCellMar>
        </w:tblPrEx>
        <w:trPr>
          <w:trHeight w:val="540" w:hRule="atLeast"/>
        </w:trPr>
        <w:tc>
          <w:tcPr>
            <w:tcW w:w="9313" w:type="dxa"/>
            <w:gridSpan w:val="3"/>
            <w:shd w:val="clear" w:color="auto" w:fill="auto"/>
            <w:vAlign w:val="center"/>
          </w:tcPr>
          <w:p>
            <w:pPr>
              <w:widowControl/>
              <w:jc w:val="center"/>
              <w:textAlignment w:val="center"/>
              <w:rPr>
                <w:rFonts w:ascii="宋体" w:hAnsi="宋体" w:eastAsia="宋体" w:cs="宋体"/>
                <w:b/>
                <w:color w:val="auto"/>
                <w:sz w:val="27"/>
                <w:szCs w:val="27"/>
                <w:u w:val="none"/>
              </w:rPr>
            </w:pPr>
            <w:r>
              <w:rPr>
                <w:rFonts w:ascii="宋体" w:hAnsi="宋体" w:eastAsia="宋体" w:cs="宋体"/>
                <w:b/>
                <w:color w:val="auto"/>
                <w:kern w:val="0"/>
                <w:sz w:val="27"/>
                <w:szCs w:val="27"/>
                <w:u w:val="none"/>
              </w:rPr>
              <w:t>建德市2019年一般公共预算本级支出</w:t>
            </w:r>
            <w:r>
              <w:rPr>
                <w:rFonts w:hint="eastAsia" w:ascii="宋体" w:hAnsi="宋体" w:eastAsia="宋体" w:cs="宋体"/>
                <w:b/>
                <w:color w:val="auto"/>
                <w:kern w:val="0"/>
                <w:sz w:val="27"/>
                <w:szCs w:val="27"/>
                <w:u w:val="none"/>
                <w:lang w:val="en-US" w:eastAsia="zh-CN"/>
              </w:rPr>
              <w:t>决算表</w:t>
            </w:r>
          </w:p>
        </w:tc>
      </w:tr>
      <w:tr>
        <w:tblPrEx>
          <w:tblLayout w:type="fixed"/>
          <w:tblCellMar>
            <w:top w:w="15" w:type="dxa"/>
            <w:left w:w="15" w:type="dxa"/>
            <w:bottom w:w="15" w:type="dxa"/>
            <w:right w:w="15" w:type="dxa"/>
          </w:tblCellMar>
        </w:tblPrEx>
        <w:trPr>
          <w:trHeight w:val="286" w:hRule="atLeast"/>
        </w:trPr>
        <w:tc>
          <w:tcPr>
            <w:tcW w:w="1996" w:type="dxa"/>
            <w:shd w:val="clear" w:color="auto" w:fill="auto"/>
            <w:vAlign w:val="center"/>
          </w:tcPr>
          <w:p>
            <w:pPr>
              <w:jc w:val="left"/>
              <w:rPr>
                <w:rFonts w:ascii="宋体" w:hAnsi="宋体" w:eastAsia="宋体" w:cs="宋体"/>
                <w:color w:val="auto"/>
                <w:sz w:val="18"/>
                <w:szCs w:val="18"/>
                <w:u w:val="none"/>
              </w:rPr>
            </w:pPr>
          </w:p>
        </w:tc>
        <w:tc>
          <w:tcPr>
            <w:tcW w:w="4051" w:type="dxa"/>
            <w:shd w:val="clear" w:color="auto" w:fill="auto"/>
            <w:vAlign w:val="center"/>
          </w:tcPr>
          <w:p>
            <w:pPr>
              <w:jc w:val="left"/>
              <w:rPr>
                <w:rFonts w:ascii="宋体" w:hAnsi="宋体" w:eastAsia="宋体" w:cs="宋体"/>
                <w:color w:val="auto"/>
                <w:sz w:val="18"/>
                <w:szCs w:val="18"/>
                <w:u w:val="none"/>
              </w:rPr>
            </w:pPr>
          </w:p>
        </w:tc>
        <w:tc>
          <w:tcPr>
            <w:tcW w:w="3266" w:type="dxa"/>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05" w:hRule="atLeast"/>
        </w:trPr>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功能科目代码</w:t>
            </w:r>
          </w:p>
        </w:tc>
        <w:tc>
          <w:tcPr>
            <w:tcW w:w="4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预算科目及项目</w:t>
            </w:r>
          </w:p>
        </w:tc>
        <w:tc>
          <w:tcPr>
            <w:tcW w:w="3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本级执行数</w:t>
            </w:r>
          </w:p>
        </w:tc>
      </w:tr>
      <w:tr>
        <w:tblPrEx>
          <w:tblLayout w:type="fixed"/>
          <w:tblCellMar>
            <w:top w:w="15" w:type="dxa"/>
            <w:left w:w="15" w:type="dxa"/>
            <w:bottom w:w="15" w:type="dxa"/>
            <w:right w:w="15" w:type="dxa"/>
          </w:tblCellMar>
        </w:tblPrEx>
        <w:trPr>
          <w:trHeight w:val="570" w:hRule="atLeast"/>
        </w:trPr>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3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显示</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A.地方一般公共预算支出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447889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一般公共服务支出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31292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988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人大会议</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人大代表履职能力提升</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代表工作</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其他人大事务支出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政协事务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政协会议</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委员视察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参政议政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其他政协事务支出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政府办公厅（室）及相关机构事务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2887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机关服务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信访事务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727</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其他政府办公厅（室）及相关机构事务支出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发展与改革事务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5327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2808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物价管理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其他发展与改革事务支出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统计信息事务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机关服务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专项统计业务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专项普查活动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统计抽样调查</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2010599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其他统计信息事务支出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3032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预算改革业务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财政监察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其他财政事务支出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审计事务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审计业务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2010850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人力资源事务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2011099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其他人力资源事务支出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纪检监察事务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大案要案查处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派驻派出机构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其他纪检监察事务支出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商贸事务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2011350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档案事务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2012604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档案馆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民主党派及工商联事务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群众团体事务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2012999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其他群众团体事务支出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党委办公厅(室)及相关机构事务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专项业务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其他党委办公厅(室)及相关机构事务支出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组织事务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966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公务员事务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其他组织事务支出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宣传事务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其他宣传事务支出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统战事务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华侨事务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其他统战事务支出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其他共产党事务支出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1057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其他共产党事务支出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市场监督管理事务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4753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3356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市场监督管理专项</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2013899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其他市场监督管理事务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其他一般公共服务支出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其他一般公共服务支出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国防支出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530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国防动员</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人民防空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2030607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民兵</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其他国防支出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2039901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其他国防支出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公共安全支出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28635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武装警察部队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其他武装警察部队支出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公安</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19881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17328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2040219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信息化建设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2040220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执法办案</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2040221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特别业务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检察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检察监督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其他检察支出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法院</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4882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案件审判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“两庭”建设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2040550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司法</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1549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基层司法业务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普法宣传</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法律援助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社区矫正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其他司法支出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92484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普通教育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80951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学前教育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小学教育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29575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初中教育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高中教育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16579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其他普通教育支出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职业教育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中专教育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技校教育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职业高中教育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其他职业教育支出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成人初等教育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成人中等教育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其他成人教育支出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广播电视学校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特殊教育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2050701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特殊学校教育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进修及培训</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干部教育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775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培训支出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其他进修及培训</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教育费附加安排的支出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2050999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其他教育费附加安排的支出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2059999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其他教育支出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科学技术支出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22371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科学技术管理事务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447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技术研究与开发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机构运行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应用技术研究与开发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产业技术研究与开发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其他技术研究与开发支出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科技条件与服务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机构运行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社会科学</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社会科学研究</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科学技术普及</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科普活动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其他科学技术普及支出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科技奖励</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2069999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其他科学技术支出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文化旅游体育与传媒支出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7091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文化和旅游</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图书馆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群众文化</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文化创作与保护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文化和旅游市场管理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旅游行业业务管理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其他文化和旅游支出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文物保护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2070206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历史名城与古迹</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体育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其他体育支出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新闻出版电影</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其他新闻出版电影支出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广播电视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电视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其他广播电视支出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其他文化体育与传媒支出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文化产业发展专项支出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其他文化体育与传媒支出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1655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社会保障和就业支出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59831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人力资源和社会保障管理事务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9157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1860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就业管理事务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社会保险业务管理事务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社会保险经办机构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其他人力资源和社会保障管理事务支出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民间组织管理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行政区划和地名管理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基层政权和社区建设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其他民政管理事务支出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行政事业单位离退休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事业单位离退休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就业补助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其他就业补助支出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抚恤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在乡复员、退伍军人生活补助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义务兵优待</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其他优抚支出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3084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退役安置</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退役士兵安置</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1236</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军队移交政府的离退休人员安置</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军队移交政府离退休干部管理机构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退役士兵管理教育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2080999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其他退役安置支出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社会福利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1640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儿童福利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老年福利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837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社会福利事业单位</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2081099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其他社会福利支出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残疾人事业</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残疾人康复</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残疾人就业和扶贫</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残疾人体育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残疾人生活和护理补贴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3319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其他残疾人事业支出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红十字事业</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其他红十字事业支出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最低生活保障</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8240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城市最低生活保障金支出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2081902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农村最低生活保障金支出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临时救助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临时救助支出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2082002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流浪乞讨人员救助支出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特困人员救助供养</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城市特困人员救助供养支出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农村五保救助供养支出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其他生活救助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其他农村生活救助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1606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财政对基本养老保险基金的补助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财政对城乡居民基本养老保险基金的补助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财政对其他社会保险基金的补助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其他财政对社会保险基金的补助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13764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退役军人管理事务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拥军优属</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2082850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其他社会保障和就业支出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其他社会保障和就业支出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4552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卫生健康支出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38188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卫生健康管理事务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公立医院</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其他公立医院支出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5421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基层医疗卫生机构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5783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城市社区卫生机构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乡镇卫生院</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4835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其他基层医疗卫生机构支出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公共卫生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疾病预防控制机构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867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卫生监督机构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妇幼保健机构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基本公共卫生服务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重大公共卫生专项</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突发公共卫生事件应急处理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其他公共卫生支出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中医药</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中医（民族医）药专项</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计划生育事务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2100717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计划生育服务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其他计划生育事务支出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1444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行政事业单位医疗</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3840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行政单位医疗</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1587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事业单位医疗</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892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公务员医疗补助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1213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其他行政事业单位医疗支出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财政对基本医疗保险基金的补助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6823</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财政对职工基本医疗保险基金的补助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150</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财政对城乡居民基本医疗保险基金的补助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6314</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财政对其他基本医疗保险基金的补助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医疗救助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2834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城乡医疗救助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其他医疗救助支出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优抚对象医疗</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优抚对象医疗补助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医疗保障管理事务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信息化建设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2101505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医疗保障政策管理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老龄卫生健康事务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2101601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老龄卫生健康事务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6298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其他卫生健康支出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6298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节能环保支出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6513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环境保护管理事务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1191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生态环境保护宣传</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其他环境保护管理事务支出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污染防治</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大气</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水体</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其他污染防治支出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自然生态保护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农村环境保护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天然林保护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2110507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停伐补助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污染减排</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生态环境监测与信息</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减排专项支出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其他污染减排支出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可再生能源</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可再生能源</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循环经济</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2111301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循环经济</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其他节能环保支出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2119901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其他节能环保支出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1807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城乡社区支出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24476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10724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3800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城管执法</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1048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工程建设管理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住宅建设与房地产市场监管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其他城乡社区管理事务支出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5485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城乡社区规划与管理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城乡社区规划与管理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城乡社区公共设施</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小城镇基础设施建设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其他城乡社区公共设施支出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4282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城乡社区环境卫生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城乡社区环境卫生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建设市场管理与监督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建设市场管理与监督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3390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农林水支出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54778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12092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1689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科技转化与推广服务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病虫害控制</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农产品质量安全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统计监测与信息服务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农业行业业务管理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2130119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防灾救灾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2130122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农业生产支持补贴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2130135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农业资源保护修复与利用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2130148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成品油价格改革对渔业的补贴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2130152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对高校毕业生到基层任职补助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其他农业支出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7217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林业和草原</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11203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1834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森林培育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森林资源管理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森林生态效益补偿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3504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动植物保护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执法与监督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2130234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防灾减灾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其他林业和草原支出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16956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698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水利行业业务管理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水利工程建设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水利工程运行与维护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水利执法监督</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水土保持</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防汛</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64</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2130321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大中型水库移民后期扶持专项支出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2130334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水利建设移民支出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其他水利支出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14276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扶贫</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2130599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其他扶贫支出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农业综合开发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土地治理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其他农业综合开发支出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391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农村综合改革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对村级一事一议的补助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对村民委员会和村党支部的补助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对村集体经济组织的补助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农村综合改革示范试点补助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其他农村综合改革支出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610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普惠金融发展支出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农业保险保费补贴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其他普惠金额发展支出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其他农林水事务支出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13289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其他农林水支出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13289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交通运输支出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19468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公路水路运输</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9908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547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一般行政管理事务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公路建设</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公路养护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公路和运输安全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其他公路水路运输支出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9149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成品油价格改革对交通运输的补贴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1577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对城市公交的补贴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260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对农村道路客运的补贴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对出租车的补贴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2140499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成品油价格改革补贴其他支出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7983</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车辆购置税用于公路等基础设施建设支出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6825</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2140602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车辆购置税用于农村公路建设支出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资源勘探信息等支出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1323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资源勘探开发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工业和信息产业监管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2150510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工业和信息产业支持</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支持中小企业发展和管理支出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中小企业发展专项</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1082</w:t>
            </w:r>
          </w:p>
        </w:tc>
      </w:tr>
      <w:tr>
        <w:tblPrEx>
          <w:tblLayout w:type="fixed"/>
          <w:tblCellMar>
            <w:top w:w="15" w:type="dxa"/>
            <w:left w:w="15" w:type="dxa"/>
            <w:bottom w:w="15" w:type="dxa"/>
            <w:right w:w="15" w:type="dxa"/>
          </w:tblCellMar>
        </w:tblPrEx>
        <w:trPr>
          <w:trHeight w:val="450"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其他支持中小企业发展和管理支出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其他资源勘探信息等支出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2159999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其他资源勘探信息等支出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商业服务业等支出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3397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商业流通事务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其他商业流通事务支出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涉外发展服务支出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2160699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其他涉外发展服务支出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1725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其他商业服务业等支出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2169999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其他商业服务业等支出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1256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金融支出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其他金融支出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2179901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其他金融支出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援助其他地区支出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21902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教育</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自然资源海洋气象等支出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22405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自然资源事务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8050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1471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土地资源利用与保护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1411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测绘事务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2200304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基础测绘</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415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气象事业机构</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气象服务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气象装备保障维护</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2200599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其他气象事务支出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其他自然资源海洋气象等支出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13939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2209901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其他自然资源海洋气象等支出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13939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住房保障支出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10431</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保障性安居工程支出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棚户区改造</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1709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农村危房改造</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保障性住房租金补贴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其他保障性安居工程支出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住房改革支出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住房公积金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7468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2210203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购房补贴</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城乡社区住宅</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住房公积金管理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328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2210399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其他城乡社区住宅支出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517</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粮油物资储备支出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粮油事务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其他粮油事务支出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重要商品储备</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2220503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肉类储备</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灾害防治及应急管理支出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1203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应急管理事务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705</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行政运行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569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安全监管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安全生产基础</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53</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应急管理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2240150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事业运行</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2240199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其他应急管理支出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消防事务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其他消防事务支出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自然灾害防治</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地质灾害防治</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120</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自然灾害救灾及恢复重建支出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自然灾害灾后重建补助</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2240799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其他自然灾害生活救助支出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其他支出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2299901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1324</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债务付息支出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地方政府一般债务付息支出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2320301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地方政府一般债券付息支出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20896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债务发行费用支出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136</w:t>
            </w:r>
          </w:p>
        </w:tc>
      </w:tr>
      <w:tr>
        <w:tblPrEx>
          <w:tblLayout w:type="fixed"/>
          <w:tblCellMar>
            <w:top w:w="15" w:type="dxa"/>
            <w:left w:w="15" w:type="dxa"/>
            <w:bottom w:w="15" w:type="dxa"/>
            <w:right w:w="15" w:type="dxa"/>
          </w:tblCellMar>
        </w:tblPrEx>
        <w:trPr>
          <w:trHeight w:val="286"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地方政府一般债务发行费用支出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136</w:t>
            </w:r>
          </w:p>
        </w:tc>
      </w:tr>
      <w:tr>
        <w:tblPrEx>
          <w:tblLayout w:type="fixed"/>
          <w:tblCellMar>
            <w:top w:w="15" w:type="dxa"/>
            <w:left w:w="15" w:type="dxa"/>
            <w:bottom w:w="15" w:type="dxa"/>
            <w:right w:w="15" w:type="dxa"/>
          </w:tblCellMar>
        </w:tblPrEx>
        <w:trPr>
          <w:trHeight w:val="301"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B.债务还本支出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119054</w:t>
            </w: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C.上解上级支出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77698</w:t>
            </w: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D.安排预算稳定基金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18130</w:t>
            </w: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E.补助乡镇（街道）支出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43511</w:t>
            </w: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F.结转下年支出</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29143</w:t>
            </w: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G.调出资金</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支出合计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735425</w:t>
            </w:r>
          </w:p>
        </w:tc>
      </w:tr>
    </w:tbl>
    <w:p/>
    <w:p>
      <w:pPr>
        <w:pStyle w:val="2"/>
        <w:rPr>
          <w:rFonts w:hint="default"/>
        </w:rPr>
      </w:pPr>
    </w:p>
    <w:p>
      <w:pPr>
        <w:pStyle w:val="2"/>
        <w:rPr>
          <w:rFonts w:hint="default"/>
        </w:rPr>
      </w:pPr>
    </w:p>
    <w:p>
      <w:pPr>
        <w:pStyle w:val="2"/>
        <w:rPr>
          <w:rFonts w:hint="default"/>
        </w:rPr>
      </w:pPr>
    </w:p>
    <w:tbl>
      <w:tblPr>
        <w:tblStyle w:val="11"/>
        <w:tblW w:w="8085" w:type="dxa"/>
        <w:tblInd w:w="0" w:type="dxa"/>
        <w:tblLayout w:type="fixed"/>
        <w:tblCellMar>
          <w:top w:w="15" w:type="dxa"/>
          <w:left w:w="15" w:type="dxa"/>
          <w:bottom w:w="15" w:type="dxa"/>
          <w:right w:w="15" w:type="dxa"/>
        </w:tblCellMar>
      </w:tblPr>
      <w:tblGrid>
        <w:gridCol w:w="1711"/>
        <w:gridCol w:w="3706"/>
        <w:gridCol w:w="2668"/>
      </w:tblGrid>
      <w:tr>
        <w:tblPrEx>
          <w:tblLayout w:type="fixed"/>
          <w:tblCellMar>
            <w:top w:w="15" w:type="dxa"/>
            <w:left w:w="15" w:type="dxa"/>
            <w:bottom w:w="15" w:type="dxa"/>
            <w:right w:w="15" w:type="dxa"/>
          </w:tblCellMar>
        </w:tblPrEx>
        <w:trPr>
          <w:trHeight w:val="450" w:hRule="atLeast"/>
        </w:trPr>
        <w:tc>
          <w:tcPr>
            <w:tcW w:w="8085" w:type="dxa"/>
            <w:gridSpan w:val="3"/>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2019年一般公共预算市本级基本支出决算表</w:t>
            </w:r>
          </w:p>
        </w:tc>
      </w:tr>
      <w:tr>
        <w:tblPrEx>
          <w:tblLayout w:type="fixed"/>
          <w:tblCellMar>
            <w:top w:w="15" w:type="dxa"/>
            <w:left w:w="15" w:type="dxa"/>
            <w:bottom w:w="15" w:type="dxa"/>
            <w:right w:w="15" w:type="dxa"/>
          </w:tblCellMar>
        </w:tblPrEx>
        <w:trPr>
          <w:trHeight w:val="3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rPr>
              <w:t>科目编码</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rPr>
              <w:t>科目名称</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rPr>
              <w:t>本级</w:t>
            </w:r>
          </w:p>
        </w:tc>
      </w:tr>
      <w:tr>
        <w:tblPrEx>
          <w:tblLayout w:type="fixed"/>
          <w:tblCellMar>
            <w:top w:w="15" w:type="dxa"/>
            <w:left w:w="15" w:type="dxa"/>
            <w:bottom w:w="15" w:type="dxa"/>
            <w:right w:w="15" w:type="dxa"/>
          </w:tblCellMar>
        </w:tblPrEx>
        <w:trPr>
          <w:trHeight w:val="301"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color w:val="000000"/>
                <w:sz w:val="22"/>
                <w:szCs w:val="22"/>
              </w:rPr>
            </w:pP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rPr>
              <w:t>一般公共预算经济分类基本支出合计</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rPr>
              <w:t>177239</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机关工资福利支出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60207</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50101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工资奖金津补贴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40119</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50102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社会保障缴费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7962</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50103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住房公积金</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5232</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50199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其他工资福利支出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6894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机关商品和服务支出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10106</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办公经费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5780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会议费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培训费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50204</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专用材料购置费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69</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50205</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委托业务费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353</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50206</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公务接待费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50207</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因公出国(境)费用</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50208</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公务用车运行维护费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639</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50209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维修(护)费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145</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50299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其他商品和服务支出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2934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机关资本性支出(一)</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438</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房屋建筑物购建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基础设施建设</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公务用车购置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152</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50305</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土地征迁补偿和安置支出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50306</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设备购置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271</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50307</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大型修缮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50399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其他资本性支出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机关资本性支出(二)</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房屋建筑物购建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基础设施建设</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公务用车购置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50404</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设备购置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50405</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大型修缮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50499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其他资本性支出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505</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对事业单位经常性补助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105451</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50501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工资福利支出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94195</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50502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商品和服务支出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11256</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50599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其他对事业单位补助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506</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对事业单位资本性补助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50601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资本性支出(一)</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354</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50602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资本性支出(二)</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507</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对企业补助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50701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费用补贴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50702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利息补贴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50799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其他对企业补助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508</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对企业资本性支出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50801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对企业资本性支出(一)</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50802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对企业资本性支出(二)</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对个人和家庭的补助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683</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社会福利和救助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525</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助学金</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个人农业生产补贴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50905</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离退休费</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111</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50999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其他对个人和家庭补助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对社会保障基金补助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对社会保障基金补助</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补充全国社会保障基金</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债务利息及费用支出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51101</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国内债务付息</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51102</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国外债务付息</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51103</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国内债务发行费用</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51104</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国外债务发行费用</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59906</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赠与</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59907</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国家赔偿费用支出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59908</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对民间非营利组织和群众性自治组织补贴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r>
        <w:tblPrEx>
          <w:tblLayout w:type="fixed"/>
          <w:tblCellMar>
            <w:top w:w="15" w:type="dxa"/>
            <w:left w:w="15" w:type="dxa"/>
            <w:bottom w:w="15" w:type="dxa"/>
            <w:right w:w="15" w:type="dxa"/>
          </w:tblCellMar>
        </w:tblPrEx>
        <w:trPr>
          <w:trHeight w:val="286" w:hRule="atLeast"/>
        </w:trPr>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59999</w:t>
            </w:r>
          </w:p>
        </w:tc>
        <w:tc>
          <w:tcPr>
            <w:tcW w:w="3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其他支出</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w:t>
            </w:r>
          </w:p>
        </w:tc>
      </w:tr>
    </w:tbl>
    <w:p>
      <w:pPr>
        <w:pStyle w:val="2"/>
        <w:rPr>
          <w:rFonts w:hint="default"/>
        </w:rPr>
      </w:pPr>
    </w:p>
    <w:p>
      <w:pPr>
        <w:pStyle w:val="2"/>
        <w:rPr>
          <w:rFonts w:hint="default"/>
        </w:rPr>
      </w:pPr>
    </w:p>
    <w:p>
      <w:pPr>
        <w:pStyle w:val="2"/>
        <w:rPr>
          <w:rFonts w:hint="default"/>
        </w:rPr>
      </w:pPr>
    </w:p>
    <w:p/>
    <w:p/>
    <w:p/>
    <w:p/>
    <w:p>
      <w:pPr>
        <w:pStyle w:val="2"/>
        <w:rPr>
          <w:rFonts w:hint="default"/>
        </w:rPr>
      </w:pPr>
    </w:p>
    <w:tbl>
      <w:tblPr>
        <w:tblStyle w:val="11"/>
        <w:tblpPr w:leftFromText="180" w:rightFromText="180" w:vertAnchor="text" w:horzAnchor="page" w:tblpXSpec="center" w:tblpY="309"/>
        <w:tblOverlap w:val="never"/>
        <w:tblW w:w="9690" w:type="dxa"/>
        <w:jc w:val="center"/>
        <w:tblInd w:w="0" w:type="dxa"/>
        <w:tblLayout w:type="fixed"/>
        <w:tblCellMar>
          <w:top w:w="15" w:type="dxa"/>
          <w:left w:w="15" w:type="dxa"/>
          <w:bottom w:w="15" w:type="dxa"/>
          <w:right w:w="15" w:type="dxa"/>
        </w:tblCellMar>
      </w:tblPr>
      <w:tblGrid>
        <w:gridCol w:w="3483"/>
        <w:gridCol w:w="1080"/>
        <w:gridCol w:w="3325"/>
        <w:gridCol w:w="1802"/>
      </w:tblGrid>
      <w:tr>
        <w:tblPrEx>
          <w:tblLayout w:type="fixed"/>
          <w:tblCellMar>
            <w:top w:w="15" w:type="dxa"/>
            <w:left w:w="15" w:type="dxa"/>
            <w:bottom w:w="15" w:type="dxa"/>
            <w:right w:w="15" w:type="dxa"/>
          </w:tblCellMar>
        </w:tblPrEx>
        <w:trPr>
          <w:trHeight w:val="450" w:hRule="atLeast"/>
          <w:jc w:val="center"/>
        </w:trPr>
        <w:tc>
          <w:tcPr>
            <w:tcW w:w="9690" w:type="dxa"/>
            <w:gridSpan w:val="4"/>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2019年一般公共预算税收返还和转移支付决算表</w:t>
            </w:r>
          </w:p>
        </w:tc>
      </w:tr>
      <w:tr>
        <w:tblPrEx>
          <w:tblLayout w:type="fixed"/>
          <w:tblCellMar>
            <w:top w:w="15" w:type="dxa"/>
            <w:left w:w="15" w:type="dxa"/>
            <w:bottom w:w="15" w:type="dxa"/>
            <w:right w:w="15" w:type="dxa"/>
          </w:tblCellMar>
        </w:tblPrEx>
        <w:trPr>
          <w:trHeight w:val="286" w:hRule="atLeast"/>
          <w:jc w:val="center"/>
        </w:trPr>
        <w:tc>
          <w:tcPr>
            <w:tcW w:w="9690" w:type="dxa"/>
            <w:gridSpan w:val="4"/>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决 算 数</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决 算 数</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一般公共预算收入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311,008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一般公共预算支出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541,505</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上级补助收入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248,162</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补助下级支出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返还性收入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20,183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返还性支出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所得税基数返还收入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5,870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所得税基数返还支出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成品油税费改革税收返还收入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929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成品油税费改革税收返还支出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增值税税收返还收入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17,484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增值税税收返还支出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消费税税收返还收入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消费税税收返还支出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增值税“五五分享”税收返还收入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-4,767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增值税“五五分享”税收返还支出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其他返还性收入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其他返还性支出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一般性转移支付收入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170,096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一般性转移支付支出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体制补助收入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4,260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体制补助支出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均衡性转移支付收入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13,008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均衡性转移支付支出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县级基本财力保障机制奖补资金收入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13,696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县级基本财力保障机制奖补资金支出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结算补助收入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19,423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结算补助支出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资源枯竭型城市转移支付补助收入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资源枯竭型城市转移支付补助支出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企业事业单位划转补助收入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企业事业单位划转补助支出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成品油税费改革转移支付补助收入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成品油税费改革转移支付补助支出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基层公检法司转移支付收入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2,414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基层公检法司转移支付支出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城乡义务教育转移支付收入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3,283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城乡义务教育转移支付支出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基本养老金转移支付收入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7,418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基本养老金转移支付支出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城乡居民基本医疗保险转移支付收入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6,312</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城乡居民基本医疗保险转移支付支出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农村综合改革转移支付收入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2,255</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农村综合改革转移支付支出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产粮(油)大县奖励资金收入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产粮(油)大县奖励资金支出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重点生态功能区转移支付收入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19,251</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重点生态功能区转移支付支出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固定数额补助收入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13,550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固定数额补助支出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革命老区转移支付收入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革命老区转移支付支出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民族地区转移支付收入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民族地区转移支付支出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边境地区转移支付收入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边境地区转移支付支出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贫困地区转移支付收入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贫困地区转移支付支出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一般公共服务共同财政事权转移支付收入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一般公共服务共同财政事权转移支付支出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外交共同财政事权转移支付收入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外交共同财政事权转移支付支出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国防共同财政事权转移支付收入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国防共同财政事权转移支付支出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公共安全共同财政事权转移支付收入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公共安全共同财政事权转移支付支出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教育共同财政事权转移支付收入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教育共同财政事权转移支付支出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科学技术共同财政事权转移支付收入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科学技术共同财政事权转移支付支出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文化旅游体育与传媒共同财政事权转移支付收入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212</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文化旅游体育与传媒共同财政事权转移支付支出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社会保障和就业共同财政事权转移支付收入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7,973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社会保障和就业共同财政事权转移支付支出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卫生健康共同财政事权转移支付收入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4,789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卫生健康共同财政事权转移支付支出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节能环保共同财政事权转移支付收入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节能环保共同财政事权转移支付支出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城乡社区共同财政事权转移支付收入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城乡社区共同财政事权转移支付支出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农林水共同财政事权转移支付收入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7,604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农林水共同财政事权转移支付支出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交通运输共同财政事权转移支付收入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交通运输共同财政事权转移支付支出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资源勘探信息等共同财政事权转移支付收入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资源勘探信息等共同财政事权转移支付支出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商业服务业等共同财政事权转移支付收入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商业服务业等共同财政事权转移支付支出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金融共同财政事权转移支付收入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金融共同财政事权转移支付支出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自然资源海洋气象等共同财政事权转移支付收入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自然资源海洋气象等共同财政事权转移支付支出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住房保障共同财政事权转移支付收入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1,677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住房保障共同财政事权转移支付支出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粮油物资储备共同财政事权转移支付收入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粮油物资储备共同财政事权转移支付支出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其他共同财政事权转移支付收入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其他共同财政事权转移支付支出 </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其他一般性转移支付收入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40,781</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其他一般性转移支付支出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专项转移支付收入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57,883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专项转移支付支出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一般公共服务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987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一般公共服务</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外交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外交</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国防</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公共安全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公共安全</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教育</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科学技术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科学技术</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文化旅游体育与传媒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1,969</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文化旅游体育与传媒</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社会保障和就业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2,353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社会保障和就业</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卫生健康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节能环保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2,906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节能环保</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城乡社区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425</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城乡社区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农林水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24,863</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农林水</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交通运输</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资源勘探信息等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1,216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资源勘探信息等</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商业服务业等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1,042</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商业服务业等</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金融</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自然资源海洋气象等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5,566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自然资源海洋气象等</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住房保障</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粮油物资储备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粮油物资储备</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下级上解收入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上解上级支出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77,698</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体制上解收入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体制上解支出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67,331</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专项上解收入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专项上解支出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10,367</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待偿债置换一般债券上年结余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上年结余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53,166</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调入资金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56,698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调出资金</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从政府性基金预算调入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从国有资本经营预算调入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22,100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从其他资金调入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22,998</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债务收入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债务还本支出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119,054</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地方政府债务收入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地方政府一般债务还本支出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119,054</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一般债务收入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地方政府一般债券还本支出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118,357</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地方政府一般债券收入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地方政府向外国政府借款还本支出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地方政府向外国政府借款收入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地方政府向国际组织借款还本支出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697</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地方政府向国际组织借款收入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地方政府其他一般债务还本支出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地方政府其他一般债务收入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债务转贷收入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118,000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债务转贷支出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  地方政府一般债务转贷收入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118,000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地方政府一般债券转贷支出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地方政府一般债券转贷收入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118,000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地方政府向外国政府借款转贷支出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地方政府向外国政府借款转贷收入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地方政府向国际组织借款转贷支出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地方政府向国际组织借款转贷收入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地方政府其他一般债务转贷支出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地方政府其他一般债务转贷收入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国债转贷收入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补充预算周转金</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国债转贷资金上年结余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拨付国债转贷资金数</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国债转贷转补助数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国债转贷资金结余</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动用预算稳定调节基金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安排预算稳定调节基金</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18,130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接受其他地区援助收入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援助其他地区支出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接受其他省(自治区、直辖市、计划单列市)援助收入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援助其他省(自治区、直辖市、计划单列市)支出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接受省内其他地市(区)援助收入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援助省内其他地市(区)支出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接受市内其他县市(区)援助收入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援助市内其他县市(区)支出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省补助计划单列市收入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计划单列市上解省支出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计划单列市上解省收入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省补助计划单列市支出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待偿债置换一般债券结余</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年终结余</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45,647</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减:结转下年的支出</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45,647</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净结余</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收  入  总  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802,034</w:t>
            </w:r>
          </w:p>
        </w:tc>
        <w:tc>
          <w:tcPr>
            <w:tcW w:w="3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支  出  总  计</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802,034</w:t>
            </w:r>
          </w:p>
        </w:tc>
      </w:tr>
    </w:tbl>
    <w:p>
      <w:pPr>
        <w:pStyle w:val="2"/>
        <w:rPr>
          <w:rFonts w:hint="default"/>
        </w:rPr>
      </w:pPr>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1"/>
        <w:tblW w:w="7605" w:type="dxa"/>
        <w:tblInd w:w="0" w:type="dxa"/>
        <w:tblLayout w:type="fixed"/>
        <w:tblCellMar>
          <w:top w:w="15" w:type="dxa"/>
          <w:left w:w="15" w:type="dxa"/>
          <w:bottom w:w="15" w:type="dxa"/>
          <w:right w:w="15" w:type="dxa"/>
        </w:tblCellMar>
      </w:tblPr>
      <w:tblGrid>
        <w:gridCol w:w="4081"/>
        <w:gridCol w:w="3524"/>
      </w:tblGrid>
      <w:tr>
        <w:tblPrEx>
          <w:tblLayout w:type="fixed"/>
          <w:tblCellMar>
            <w:top w:w="15" w:type="dxa"/>
            <w:left w:w="15" w:type="dxa"/>
            <w:bottom w:w="15" w:type="dxa"/>
            <w:right w:w="15" w:type="dxa"/>
          </w:tblCellMar>
        </w:tblPrEx>
        <w:trPr>
          <w:trHeight w:val="900" w:hRule="atLeast"/>
        </w:trPr>
        <w:tc>
          <w:tcPr>
            <w:tcW w:w="7605" w:type="dxa"/>
            <w:gridSpan w:val="2"/>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bCs/>
                <w:kern w:val="0"/>
                <w:sz w:val="36"/>
                <w:szCs w:val="36"/>
              </w:rPr>
              <w:t>建德市地方政府一般债务限额和余额情况表</w:t>
            </w:r>
          </w:p>
        </w:tc>
      </w:tr>
      <w:tr>
        <w:tblPrEx>
          <w:tblLayout w:type="fixed"/>
          <w:tblCellMar>
            <w:top w:w="15" w:type="dxa"/>
            <w:left w:w="15" w:type="dxa"/>
            <w:bottom w:w="15" w:type="dxa"/>
            <w:right w:w="15" w:type="dxa"/>
          </w:tblCellMar>
        </w:tblPrEx>
        <w:trPr>
          <w:trHeight w:val="330" w:hRule="atLeast"/>
        </w:trPr>
        <w:tc>
          <w:tcPr>
            <w:tcW w:w="7605" w:type="dxa"/>
            <w:gridSpan w:val="2"/>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Layout w:type="fixed"/>
          <w:tblCellMar>
            <w:top w:w="15" w:type="dxa"/>
            <w:left w:w="15" w:type="dxa"/>
            <w:bottom w:w="15" w:type="dxa"/>
            <w:right w:w="15" w:type="dxa"/>
          </w:tblCellMar>
        </w:tblPrEx>
        <w:trPr>
          <w:trHeight w:val="570"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一般债务</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一、上年末地方政府债务余额</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634878</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二、本年地方政府债务余额限额(预算数)</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635600</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三、本年地方政府债务(转贷)收入</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118000</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四、本年地方政府债务还本支出</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119054</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五、本年采用其他方式化解的债务本金</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-768</w:t>
            </w:r>
          </w:p>
        </w:tc>
      </w:tr>
      <w:tr>
        <w:tblPrEx>
          <w:tblLayout w:type="fixed"/>
          <w:tblCellMar>
            <w:top w:w="15" w:type="dxa"/>
            <w:left w:w="15" w:type="dxa"/>
            <w:bottom w:w="15" w:type="dxa"/>
            <w:right w:w="15" w:type="dxa"/>
          </w:tblCellMar>
        </w:tblPrEx>
        <w:trPr>
          <w:trHeight w:val="825" w:hRule="atLeast"/>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六、年末地方政府债务余额</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634592</w:t>
            </w:r>
          </w:p>
        </w:tc>
      </w:tr>
      <w:tr>
        <w:tblPrEx>
          <w:tblLayout w:type="fixed"/>
          <w:tblCellMar>
            <w:top w:w="15" w:type="dxa"/>
            <w:left w:w="15" w:type="dxa"/>
            <w:bottom w:w="15" w:type="dxa"/>
            <w:right w:w="15" w:type="dxa"/>
          </w:tblCellMar>
        </w:tblPrEx>
        <w:trPr>
          <w:trHeight w:val="286" w:hRule="atLeast"/>
        </w:trPr>
        <w:tc>
          <w:tcPr>
            <w:tcW w:w="4081" w:type="dxa"/>
            <w:shd w:val="clear" w:color="auto" w:fill="auto"/>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注：本年采用其他方式化解的债务本金-768万元是因为汇率差异。</w:t>
            </w:r>
          </w:p>
        </w:tc>
        <w:tc>
          <w:tcPr>
            <w:tcW w:w="3524" w:type="dxa"/>
            <w:shd w:val="clear" w:color="auto" w:fill="auto"/>
            <w:vAlign w:val="center"/>
          </w:tcPr>
          <w:p>
            <w:pPr>
              <w:rPr>
                <w:rFonts w:ascii="宋体" w:hAnsi="宋体" w:eastAsia="宋体" w:cs="宋体"/>
                <w:color w:val="000000"/>
                <w:sz w:val="24"/>
              </w:rPr>
            </w:pPr>
          </w:p>
        </w:tc>
      </w:tr>
    </w:tbl>
    <w:p/>
    <w:p/>
    <w:p/>
    <w:p/>
    <w:p/>
    <w:p/>
    <w:p/>
    <w:p/>
    <w:p>
      <w:pPr>
        <w:pStyle w:val="2"/>
        <w:rPr>
          <w:rFonts w:hint="default"/>
        </w:rPr>
      </w:pPr>
    </w:p>
    <w:p/>
    <w:tbl>
      <w:tblPr>
        <w:tblStyle w:val="11"/>
        <w:tblW w:w="9000" w:type="dxa"/>
        <w:tblInd w:w="0" w:type="dxa"/>
        <w:tblLayout w:type="fixed"/>
        <w:tblCellMar>
          <w:top w:w="15" w:type="dxa"/>
          <w:left w:w="15" w:type="dxa"/>
          <w:bottom w:w="15" w:type="dxa"/>
          <w:right w:w="15" w:type="dxa"/>
        </w:tblCellMar>
      </w:tblPr>
      <w:tblGrid>
        <w:gridCol w:w="3661"/>
        <w:gridCol w:w="1125"/>
        <w:gridCol w:w="1035"/>
        <w:gridCol w:w="1200"/>
        <w:gridCol w:w="1020"/>
        <w:gridCol w:w="959"/>
      </w:tblGrid>
      <w:tr>
        <w:tblPrEx>
          <w:tblLayout w:type="fixed"/>
          <w:tblCellMar>
            <w:top w:w="15" w:type="dxa"/>
            <w:left w:w="15" w:type="dxa"/>
            <w:bottom w:w="15" w:type="dxa"/>
            <w:right w:w="15" w:type="dxa"/>
          </w:tblCellMar>
        </w:tblPrEx>
        <w:trPr>
          <w:trHeight w:val="975" w:hRule="atLeast"/>
        </w:trPr>
        <w:tc>
          <w:tcPr>
            <w:tcW w:w="9000" w:type="dxa"/>
            <w:gridSpan w:val="6"/>
            <w:shd w:val="clear" w:color="auto" w:fill="auto"/>
            <w:vAlign w:val="center"/>
          </w:tcPr>
          <w:p>
            <w:pPr>
              <w:widowControl/>
              <w:jc w:val="center"/>
              <w:textAlignment w:val="center"/>
              <w:rPr>
                <w:rFonts w:ascii="宋体" w:hAnsi="宋体" w:eastAsia="宋体" w:cs="宋体"/>
                <w:b/>
                <w:color w:val="000000"/>
                <w:sz w:val="36"/>
                <w:szCs w:val="36"/>
              </w:rPr>
            </w:pPr>
            <w:r>
              <w:rPr>
                <w:rStyle w:val="18"/>
                <w:rFonts w:eastAsia="宋体"/>
              </w:rPr>
              <w:t>2019</w:t>
            </w:r>
            <w:r>
              <w:rPr>
                <w:rFonts w:hint="eastAsia" w:ascii="宋体" w:hAnsi="宋体" w:eastAsia="宋体" w:cs="宋体"/>
                <w:b/>
                <w:color w:val="000000"/>
                <w:kern w:val="0"/>
                <w:sz w:val="36"/>
                <w:szCs w:val="36"/>
              </w:rPr>
              <w:t>年政府性基金收入</w:t>
            </w:r>
            <w:r>
              <w:rPr>
                <w:rFonts w:hint="eastAsia" w:ascii="宋体" w:hAnsi="宋体" w:eastAsia="宋体" w:cs="宋体"/>
                <w:b/>
                <w:color w:val="000000"/>
                <w:kern w:val="0"/>
                <w:sz w:val="36"/>
                <w:szCs w:val="36"/>
                <w:lang w:val="en-US" w:eastAsia="zh-CN"/>
              </w:rPr>
              <w:t>决算情况</w:t>
            </w:r>
            <w:r>
              <w:rPr>
                <w:rFonts w:hint="eastAsia" w:ascii="宋体" w:hAnsi="宋体" w:eastAsia="宋体" w:cs="宋体"/>
                <w:b/>
                <w:color w:val="000000"/>
                <w:kern w:val="0"/>
                <w:sz w:val="36"/>
                <w:szCs w:val="36"/>
              </w:rPr>
              <w:t>表</w:t>
            </w:r>
          </w:p>
        </w:tc>
      </w:tr>
      <w:tr>
        <w:tblPrEx>
          <w:tblLayout w:type="fixed"/>
          <w:tblCellMar>
            <w:top w:w="15" w:type="dxa"/>
            <w:left w:w="15" w:type="dxa"/>
            <w:bottom w:w="15" w:type="dxa"/>
            <w:right w:w="15" w:type="dxa"/>
          </w:tblCellMar>
        </w:tblPrEx>
        <w:trPr>
          <w:trHeight w:val="375" w:hRule="atLeast"/>
        </w:trPr>
        <w:tc>
          <w:tcPr>
            <w:tcW w:w="9000" w:type="dxa"/>
            <w:gridSpan w:val="6"/>
            <w:tcBorders>
              <w:bottom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　</w:t>
            </w:r>
            <w:r>
              <w:rPr>
                <w:rStyle w:val="19"/>
                <w:rFonts w:eastAsia="宋体"/>
              </w:rPr>
              <w:t xml:space="preserve">   </w:t>
            </w:r>
            <w:r>
              <w:rPr>
                <w:rStyle w:val="20"/>
                <w:rFonts w:eastAsia="宋体"/>
              </w:rPr>
              <w:t xml:space="preserve">    </w:t>
            </w:r>
            <w:r>
              <w:rPr>
                <w:rStyle w:val="21"/>
                <w:rFonts w:hint="default"/>
              </w:rPr>
              <w:t>金额单位：万元</w:t>
            </w:r>
          </w:p>
        </w:tc>
      </w:tr>
      <w:tr>
        <w:tblPrEx>
          <w:tblLayout w:type="fixed"/>
          <w:tblCellMar>
            <w:top w:w="15" w:type="dxa"/>
            <w:left w:w="15" w:type="dxa"/>
            <w:bottom w:w="15" w:type="dxa"/>
            <w:right w:w="15" w:type="dxa"/>
          </w:tblCellMar>
        </w:tblPrEx>
        <w:trPr>
          <w:trHeight w:val="7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预算科目及项目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上年实绩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本年预算</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本年执行数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完成预算的%</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比上年同期增减%</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A.政府性基金收入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346965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328600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315312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96.0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-9.1%</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1.散装水泥专项资金收入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2.新型墙体材料专项基金收入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3.城市公用事业附加收入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4.国有土地使用权出让金收入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242498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177267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94.3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-26.9%</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5.国有土地收益基金收入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7206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5650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104.6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-21.6%</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6.农业土地开发资金收入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72.0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7.福利彩票公益金收入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164.0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74.5%</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8.体育彩票公益金收入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179.3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9.3%</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9.城市基础设施配套费收入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1647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82.4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-41.0%</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10.其他政府性基金收入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93439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132050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129391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98.0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38.5%</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B.上级转移支付收入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8914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13925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24851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178.5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178.8%</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C.上年结转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63336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41115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41115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-35.1%</w:t>
            </w: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D.债务转贷收入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180000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180000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D.上年实绩收入调整还原项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收入合计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419215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563640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561278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99.6 </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33.9%</w:t>
            </w:r>
          </w:p>
        </w:tc>
      </w:tr>
      <w:tr>
        <w:tblPrEx>
          <w:tblLayout w:type="fixed"/>
          <w:tblCellMar>
            <w:top w:w="15" w:type="dxa"/>
            <w:left w:w="15" w:type="dxa"/>
            <w:bottom w:w="15" w:type="dxa"/>
            <w:right w:w="15" w:type="dxa"/>
          </w:tblCellMar>
        </w:tblPrEx>
        <w:trPr>
          <w:trHeight w:val="540" w:hRule="atLeast"/>
        </w:trPr>
        <w:tc>
          <w:tcPr>
            <w:tcW w:w="9000" w:type="dxa"/>
            <w:gridSpan w:val="6"/>
            <w:tcBorders>
              <w:top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注1：散装水泥专项基金并入新型墙体材料专项基金征收，并且从2017年4月1日起新型墙体材料专项基金、城市公用事业附加停止征收。</w:t>
            </w:r>
          </w:p>
        </w:tc>
      </w:tr>
      <w:tr>
        <w:tblPrEx>
          <w:tblLayout w:type="fixed"/>
          <w:tblCellMar>
            <w:top w:w="15" w:type="dxa"/>
            <w:left w:w="15" w:type="dxa"/>
            <w:bottom w:w="15" w:type="dxa"/>
            <w:right w:w="15" w:type="dxa"/>
          </w:tblCellMar>
        </w:tblPrEx>
        <w:trPr>
          <w:trHeight w:val="390" w:hRule="atLeast"/>
        </w:trPr>
        <w:tc>
          <w:tcPr>
            <w:tcW w:w="9000"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注2：国有土地使用权出让金、国有土地收益基金、农业土地开发资金为土地出让金收入的明细项。</w:t>
            </w:r>
          </w:p>
        </w:tc>
      </w:tr>
    </w:tbl>
    <w:p/>
    <w:p/>
    <w:p/>
    <w:tbl>
      <w:tblPr>
        <w:tblStyle w:val="11"/>
        <w:tblW w:w="8773" w:type="dxa"/>
        <w:tblInd w:w="0" w:type="dxa"/>
        <w:tblLayout w:type="fixed"/>
        <w:tblCellMar>
          <w:top w:w="15" w:type="dxa"/>
          <w:left w:w="15" w:type="dxa"/>
          <w:bottom w:w="15" w:type="dxa"/>
          <w:right w:w="15" w:type="dxa"/>
        </w:tblCellMar>
      </w:tblPr>
      <w:tblGrid>
        <w:gridCol w:w="735"/>
        <w:gridCol w:w="3520"/>
        <w:gridCol w:w="960"/>
        <w:gridCol w:w="351"/>
        <w:gridCol w:w="315"/>
        <w:gridCol w:w="594"/>
        <w:gridCol w:w="6"/>
        <w:gridCol w:w="2292"/>
      </w:tblGrid>
      <w:tr>
        <w:tblPrEx>
          <w:tblLayout w:type="fixed"/>
          <w:tblCellMar>
            <w:top w:w="15" w:type="dxa"/>
            <w:left w:w="15" w:type="dxa"/>
            <w:bottom w:w="15" w:type="dxa"/>
            <w:right w:w="15" w:type="dxa"/>
          </w:tblCellMar>
        </w:tblPrEx>
        <w:trPr>
          <w:trHeight w:val="540" w:hRule="atLeast"/>
        </w:trPr>
        <w:tc>
          <w:tcPr>
            <w:tcW w:w="8773" w:type="dxa"/>
            <w:gridSpan w:val="8"/>
            <w:shd w:val="clear" w:color="auto" w:fill="auto"/>
            <w:vAlign w:val="center"/>
          </w:tcPr>
          <w:p>
            <w:pPr>
              <w:widowControl/>
              <w:jc w:val="center"/>
              <w:textAlignment w:val="center"/>
              <w:rPr>
                <w:rFonts w:ascii="宋体" w:hAnsi="宋体" w:eastAsia="宋体" w:cs="宋体"/>
                <w:b/>
                <w:color w:val="auto"/>
                <w:sz w:val="27"/>
                <w:szCs w:val="27"/>
                <w:u w:val="none"/>
              </w:rPr>
            </w:pPr>
            <w:r>
              <w:rPr>
                <w:rFonts w:hint="eastAsia" w:ascii="宋体" w:hAnsi="宋体" w:eastAsia="宋体" w:cs="宋体"/>
                <w:b/>
                <w:color w:val="auto"/>
                <w:kern w:val="0"/>
                <w:sz w:val="36"/>
                <w:szCs w:val="36"/>
                <w:u w:val="none"/>
              </w:rPr>
              <w:t>2019年政府性基金支出</w:t>
            </w:r>
            <w:r>
              <w:rPr>
                <w:rFonts w:hint="eastAsia" w:ascii="宋体" w:hAnsi="宋体" w:eastAsia="宋体" w:cs="宋体"/>
                <w:b/>
                <w:color w:val="auto"/>
                <w:kern w:val="0"/>
                <w:sz w:val="36"/>
                <w:szCs w:val="36"/>
                <w:u w:val="none"/>
                <w:lang w:val="en-US" w:eastAsia="zh-CN"/>
              </w:rPr>
              <w:t>决算情况</w:t>
            </w:r>
            <w:r>
              <w:rPr>
                <w:rFonts w:hint="eastAsia" w:ascii="宋体" w:hAnsi="宋体" w:eastAsia="宋体" w:cs="宋体"/>
                <w:b/>
                <w:color w:val="auto"/>
                <w:kern w:val="0"/>
                <w:sz w:val="36"/>
                <w:szCs w:val="36"/>
                <w:u w:val="none"/>
              </w:rPr>
              <w:t>表</w:t>
            </w:r>
          </w:p>
        </w:tc>
      </w:tr>
      <w:tr>
        <w:tblPrEx>
          <w:tblLayout w:type="fixed"/>
          <w:tblCellMar>
            <w:top w:w="15" w:type="dxa"/>
            <w:left w:w="15" w:type="dxa"/>
            <w:bottom w:w="15" w:type="dxa"/>
            <w:right w:w="15" w:type="dxa"/>
          </w:tblCellMar>
        </w:tblPrEx>
        <w:trPr>
          <w:trHeight w:val="286" w:hRule="atLeast"/>
        </w:trPr>
        <w:tc>
          <w:tcPr>
            <w:tcW w:w="735" w:type="dxa"/>
            <w:shd w:val="clear" w:color="auto" w:fill="auto"/>
            <w:vAlign w:val="center"/>
          </w:tcPr>
          <w:p>
            <w:pPr>
              <w:jc w:val="left"/>
              <w:rPr>
                <w:rFonts w:ascii="宋体" w:hAnsi="宋体" w:eastAsia="宋体" w:cs="宋体"/>
                <w:color w:val="auto"/>
                <w:sz w:val="18"/>
                <w:szCs w:val="18"/>
                <w:u w:val="none"/>
              </w:rPr>
            </w:pPr>
          </w:p>
        </w:tc>
        <w:tc>
          <w:tcPr>
            <w:tcW w:w="3520" w:type="dxa"/>
            <w:shd w:val="clear" w:color="auto" w:fill="auto"/>
            <w:vAlign w:val="center"/>
          </w:tcPr>
          <w:p>
            <w:pPr>
              <w:jc w:val="left"/>
              <w:rPr>
                <w:rFonts w:ascii="宋体" w:hAnsi="宋体" w:eastAsia="宋体" w:cs="宋体"/>
                <w:color w:val="auto"/>
                <w:sz w:val="18"/>
                <w:szCs w:val="18"/>
                <w:u w:val="none"/>
              </w:rPr>
            </w:pPr>
          </w:p>
        </w:tc>
        <w:tc>
          <w:tcPr>
            <w:tcW w:w="960" w:type="dxa"/>
            <w:shd w:val="clear" w:color="auto" w:fill="auto"/>
            <w:vAlign w:val="center"/>
          </w:tcPr>
          <w:p>
            <w:pPr>
              <w:jc w:val="left"/>
              <w:rPr>
                <w:rFonts w:ascii="宋体" w:hAnsi="宋体" w:eastAsia="宋体" w:cs="宋体"/>
                <w:color w:val="auto"/>
                <w:sz w:val="18"/>
                <w:szCs w:val="18"/>
                <w:u w:val="none"/>
              </w:rPr>
            </w:pPr>
          </w:p>
        </w:tc>
        <w:tc>
          <w:tcPr>
            <w:tcW w:w="666" w:type="dxa"/>
            <w:gridSpan w:val="2"/>
            <w:shd w:val="clear" w:color="auto" w:fill="auto"/>
            <w:vAlign w:val="center"/>
          </w:tcPr>
          <w:p>
            <w:pPr>
              <w:jc w:val="right"/>
              <w:rPr>
                <w:rFonts w:ascii="宋体" w:hAnsi="宋体" w:eastAsia="宋体" w:cs="宋体"/>
                <w:color w:val="auto"/>
                <w:sz w:val="18"/>
                <w:szCs w:val="18"/>
                <w:u w:val="none"/>
              </w:rPr>
            </w:pPr>
          </w:p>
        </w:tc>
        <w:tc>
          <w:tcPr>
            <w:tcW w:w="2892" w:type="dxa"/>
            <w:gridSpan w:val="3"/>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单位：万元</w:t>
            </w:r>
          </w:p>
        </w:tc>
      </w:tr>
      <w:tr>
        <w:tblPrEx>
          <w:tblLayout w:type="fixed"/>
          <w:tblCellMar>
            <w:top w:w="15" w:type="dxa"/>
            <w:left w:w="15" w:type="dxa"/>
            <w:bottom w:w="15" w:type="dxa"/>
            <w:right w:w="15" w:type="dxa"/>
          </w:tblCellMar>
        </w:tblPrEx>
        <w:trPr>
          <w:trHeight w:val="40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功能科目代码</w:t>
            </w:r>
          </w:p>
        </w:tc>
        <w:tc>
          <w:tcPr>
            <w:tcW w:w="3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预算科目及项目</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指标数</w:t>
            </w:r>
          </w:p>
        </w:tc>
        <w:tc>
          <w:tcPr>
            <w:tcW w:w="12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执行数</w:t>
            </w:r>
          </w:p>
        </w:tc>
        <w:tc>
          <w:tcPr>
            <w:tcW w:w="22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为支出指标的%</w:t>
            </w:r>
          </w:p>
        </w:tc>
      </w:tr>
      <w:tr>
        <w:tblPrEx>
          <w:tblLayout w:type="fixed"/>
          <w:tblCellMar>
            <w:top w:w="15" w:type="dxa"/>
            <w:left w:w="15" w:type="dxa"/>
            <w:bottom w:w="15" w:type="dxa"/>
            <w:right w:w="15" w:type="dxa"/>
          </w:tblCellMar>
        </w:tblPrEx>
        <w:trPr>
          <w:trHeight w:val="63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3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1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c>
          <w:tcPr>
            <w:tcW w:w="22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显示</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A.政府性基金预算支出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469198</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425401</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90.7</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207</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文化旅游体育与传媒支出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20709</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旅游发展基金支出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2070904</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地方旅游开发项目补助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208</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社会保障和就业支出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11612</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11612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大中型水库移民后期扶持基金支出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10327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10327</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2082201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移民补助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5280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5280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2082202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基础设施建设和经济发展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5047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5047</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小型水库移民扶助基金安排的支出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1285</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1285</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2082302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基础设施建设和经济发展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1285</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1285</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城乡社区支出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298238</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259622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87.1</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国有土地使用权出让收入及对应专项债务收入安排的支出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188389</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154892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82.2</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2120801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征地和拆迁补偿支出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113800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90985</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土地开发支出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29728</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22701</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2120803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城市建设支出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11648</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8108</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2120805</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补助被征地农民支出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24810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24810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2120806</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土地出让业务支出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1811</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1772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2120899</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其他国有土地使用权出让收入安排的支出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6591</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6516</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21210</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国有土地收益基金及对应专项债务收入安排的支出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7623</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2880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37.8</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2121001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征地和拆迁补偿支出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7623</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2880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农业土地开发资金安排的支出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429</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362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84.4</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城市基础设施配套费安排的支出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1797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1488</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82.8</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2121302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城市环境卫生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2121399</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其他城市基础设施配套费安排的支出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797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488</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21215</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土地储备专项债券收入安排的支出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100000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100000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2121502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土地开发支出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100000</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100000</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213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农林水支出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257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257</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21366</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大中型水库库区基金安排的支出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257</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2136601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基础设施建设和经济发展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2136699</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其他大中型水库库区基金支出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55</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229</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其他支出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153174</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147995</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96.6</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22904</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其他政府性基金及对应专项债务收入安排的支出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149764</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145255</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97.0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2290401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其他政府性基金安排的支出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149764</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145255</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22908</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彩票发行销售机构业务费安排的支出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2290805</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体育彩票销售机构的业务费支出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彩票公益金安排的支出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3402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2731</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80.3</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2296002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用于社会福利的彩票公益金支出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2542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1999</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2296003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用于体育事业的彩票公益金支出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495</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403</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2296004</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用于教育事业的彩票公益金支出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93</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2296006</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用于残疾人事业的彩票公益金支出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259</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224</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2296013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用于城乡医疗救助的彩票公益金支出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12</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232</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债务付息支出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5713</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5713</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23204</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地方政府专项债务付息支出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5713</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5713</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2320411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国有土地使用权出让金债务付息支出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5713</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5713</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233</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债务发行费用支出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202</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100.0</w:t>
            </w:r>
          </w:p>
        </w:tc>
      </w:tr>
      <w:tr>
        <w:tblPrEx>
          <w:tblLayout w:type="fixed"/>
          <w:tblCellMar>
            <w:top w:w="15" w:type="dxa"/>
            <w:left w:w="15" w:type="dxa"/>
            <w:bottom w:w="15" w:type="dxa"/>
            <w:right w:w="15" w:type="dxa"/>
          </w:tblCellMar>
        </w:tblPrEx>
        <w:trPr>
          <w:trHeight w:val="28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23304</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地方政府专项债务发行费用支出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202</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100.0</w:t>
            </w: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2330411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国有土地使用权出让金债务发行费支出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92</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2330431</w:t>
            </w: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　　　　土地储备专项债券发行费用支出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18"/>
                <w:szCs w:val="18"/>
                <w:u w:val="none"/>
              </w:rPr>
            </w:pPr>
            <w:r>
              <w:rPr>
                <w:rFonts w:ascii="宋体" w:hAnsi="宋体" w:eastAsia="宋体" w:cs="宋体"/>
                <w:color w:val="auto"/>
                <w:kern w:val="0"/>
                <w:sz w:val="18"/>
                <w:szCs w:val="18"/>
                <w:u w:val="none"/>
              </w:rPr>
              <w:t>110</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30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B.债务还本支出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80480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80480</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C.上解上级支出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F.结转下年支出</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43797</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G.调出资金</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11600</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11600</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0.0</w:t>
            </w:r>
          </w:p>
        </w:tc>
      </w:tr>
      <w:tr>
        <w:tblPrEx>
          <w:tblLayout w:type="fixed"/>
          <w:tblCellMar>
            <w:top w:w="15" w:type="dxa"/>
            <w:left w:w="15" w:type="dxa"/>
            <w:bottom w:w="15" w:type="dxa"/>
            <w:right w:w="15"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u w:val="none"/>
              </w:rPr>
            </w:pPr>
          </w:p>
        </w:tc>
        <w:tc>
          <w:tcPr>
            <w:tcW w:w="3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18"/>
                <w:szCs w:val="18"/>
                <w:u w:val="none"/>
              </w:rPr>
            </w:pPr>
            <w:r>
              <w:rPr>
                <w:rFonts w:ascii="宋体" w:hAnsi="宋体" w:eastAsia="宋体" w:cs="宋体"/>
                <w:b/>
                <w:color w:val="auto"/>
                <w:kern w:val="0"/>
                <w:sz w:val="18"/>
                <w:szCs w:val="18"/>
                <w:u w:val="none"/>
              </w:rPr>
              <w:t>支出合计</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561278</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auto"/>
                <w:sz w:val="20"/>
                <w:szCs w:val="20"/>
                <w:u w:val="none"/>
              </w:rPr>
            </w:pPr>
            <w:r>
              <w:rPr>
                <w:rFonts w:hint="eastAsia" w:ascii="宋体" w:hAnsi="宋体" w:eastAsia="宋体" w:cs="宋体"/>
                <w:b/>
                <w:color w:val="auto"/>
                <w:kern w:val="0"/>
                <w:sz w:val="20"/>
                <w:szCs w:val="20"/>
                <w:u w:val="none"/>
              </w:rPr>
              <w:t>561278</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auto"/>
                <w:sz w:val="18"/>
                <w:szCs w:val="18"/>
                <w:u w:val="none"/>
              </w:rPr>
            </w:pPr>
          </w:p>
        </w:tc>
      </w:tr>
    </w:tbl>
    <w:p/>
    <w:p/>
    <w:p>
      <w:pPr>
        <w:pStyle w:val="2"/>
      </w:pPr>
    </w:p>
    <w:p>
      <w:pPr>
        <w:pStyle w:val="2"/>
      </w:pPr>
    </w:p>
    <w:p>
      <w:pPr>
        <w:pStyle w:val="2"/>
      </w:pPr>
    </w:p>
    <w:tbl>
      <w:tblPr>
        <w:tblStyle w:val="11"/>
        <w:tblW w:w="9765" w:type="dxa"/>
        <w:jc w:val="center"/>
        <w:tblInd w:w="-714" w:type="dxa"/>
        <w:tblLayout w:type="fixed"/>
        <w:tblCellMar>
          <w:top w:w="15" w:type="dxa"/>
          <w:left w:w="15" w:type="dxa"/>
          <w:bottom w:w="15" w:type="dxa"/>
          <w:right w:w="15" w:type="dxa"/>
        </w:tblCellMar>
      </w:tblPr>
      <w:tblGrid>
        <w:gridCol w:w="3316"/>
        <w:gridCol w:w="1576"/>
        <w:gridCol w:w="3541"/>
        <w:gridCol w:w="1332"/>
      </w:tblGrid>
      <w:tr>
        <w:tblPrEx>
          <w:tblLayout w:type="fixed"/>
          <w:tblCellMar>
            <w:top w:w="15" w:type="dxa"/>
            <w:left w:w="15" w:type="dxa"/>
            <w:bottom w:w="15" w:type="dxa"/>
            <w:right w:w="15" w:type="dxa"/>
          </w:tblCellMar>
        </w:tblPrEx>
        <w:trPr>
          <w:trHeight w:val="450" w:hRule="atLeast"/>
          <w:jc w:val="center"/>
        </w:trPr>
        <w:tc>
          <w:tcPr>
            <w:tcW w:w="9765" w:type="dxa"/>
            <w:gridSpan w:val="4"/>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rPr>
              <w:t>2019年政府性基金转移支付决算表</w:t>
            </w:r>
          </w:p>
        </w:tc>
      </w:tr>
      <w:tr>
        <w:tblPrEx>
          <w:tblLayout w:type="fixed"/>
          <w:tblCellMar>
            <w:top w:w="15" w:type="dxa"/>
            <w:left w:w="15" w:type="dxa"/>
            <w:bottom w:w="15" w:type="dxa"/>
            <w:right w:w="15" w:type="dxa"/>
          </w:tblCellMar>
        </w:tblPrEx>
        <w:trPr>
          <w:trHeight w:val="286" w:hRule="atLeast"/>
          <w:jc w:val="center"/>
        </w:trPr>
        <w:tc>
          <w:tcPr>
            <w:tcW w:w="9765" w:type="dxa"/>
            <w:gridSpan w:val="4"/>
            <w:shd w:val="clear" w:color="auto" w:fill="auto"/>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9765" w:type="dxa"/>
            <w:gridSpan w:val="4"/>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决算数</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决算数</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315,312</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425,401</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政府性基金预算上级补助收入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24,851</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政府性基金预算补助下级支出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政府性基金预算下级上解收入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政府性基金预算上解上级支出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待偿债置换专项债券上年结余</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政府性基金预算上年结余</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41,115</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政府性基金预算调入资金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政府性基金预算调出资金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11,600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一般公共预算调入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其他调入资金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债务还本支出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80,480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地方政府债务收入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地方政府专项债务还本支出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80,480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专项债务收入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债务转贷收入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180,000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债务转贷支出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地方政府专项债务转贷收入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180,000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政府性基金预算省补助计划单列市收入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政府性基金预算计划单列市上解省支出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政府性基金预算计划单列市上解省收入</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政府性基金预算省补助计划单列市支出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待偿债置换专项债券结余</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政府性基金预算年终结余</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43,797</w:t>
            </w:r>
          </w:p>
        </w:tc>
      </w:tr>
      <w:tr>
        <w:tblPrEx>
          <w:tblLayout w:type="fixed"/>
          <w:tblCellMar>
            <w:top w:w="15" w:type="dxa"/>
            <w:left w:w="15" w:type="dxa"/>
            <w:bottom w:w="15" w:type="dxa"/>
            <w:right w:w="15" w:type="dxa"/>
          </w:tblCellMar>
        </w:tblPrEx>
        <w:trPr>
          <w:trHeight w:val="286"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　　入　　总　　计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561,278</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　　总　　计　</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561,278</w:t>
            </w:r>
          </w:p>
        </w:tc>
      </w:tr>
    </w:tbl>
    <w:p/>
    <w:p/>
    <w:p/>
    <w:p/>
    <w:p/>
    <w:p/>
    <w:p/>
    <w:p/>
    <w:tbl>
      <w:tblPr>
        <w:tblStyle w:val="11"/>
        <w:tblW w:w="7605" w:type="dxa"/>
        <w:jc w:val="center"/>
        <w:tblInd w:w="366" w:type="dxa"/>
        <w:tblLayout w:type="fixed"/>
        <w:tblCellMar>
          <w:top w:w="15" w:type="dxa"/>
          <w:left w:w="15" w:type="dxa"/>
          <w:bottom w:w="15" w:type="dxa"/>
          <w:right w:w="15" w:type="dxa"/>
        </w:tblCellMar>
      </w:tblPr>
      <w:tblGrid>
        <w:gridCol w:w="4081"/>
        <w:gridCol w:w="3524"/>
      </w:tblGrid>
      <w:tr>
        <w:tblPrEx>
          <w:tblLayout w:type="fixed"/>
          <w:tblCellMar>
            <w:top w:w="15" w:type="dxa"/>
            <w:left w:w="15" w:type="dxa"/>
            <w:bottom w:w="15" w:type="dxa"/>
            <w:right w:w="15" w:type="dxa"/>
          </w:tblCellMar>
        </w:tblPrEx>
        <w:trPr>
          <w:trHeight w:val="900" w:hRule="atLeast"/>
          <w:jc w:val="center"/>
        </w:trPr>
        <w:tc>
          <w:tcPr>
            <w:tcW w:w="7605" w:type="dxa"/>
            <w:gridSpan w:val="2"/>
            <w:shd w:val="clear" w:color="auto" w:fill="auto"/>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rPr>
              <w:t>建德市地方政府专项债务限额和余额情况表</w:t>
            </w:r>
          </w:p>
        </w:tc>
      </w:tr>
      <w:tr>
        <w:tblPrEx>
          <w:tblLayout w:type="fixed"/>
          <w:tblCellMar>
            <w:top w:w="15" w:type="dxa"/>
            <w:left w:w="15" w:type="dxa"/>
            <w:bottom w:w="15" w:type="dxa"/>
            <w:right w:w="15" w:type="dxa"/>
          </w:tblCellMar>
        </w:tblPrEx>
        <w:trPr>
          <w:trHeight w:val="330" w:hRule="atLeast"/>
          <w:jc w:val="center"/>
        </w:trPr>
        <w:tc>
          <w:tcPr>
            <w:tcW w:w="7605" w:type="dxa"/>
            <w:gridSpan w:val="2"/>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Layout w:type="fixed"/>
          <w:tblCellMar>
            <w:top w:w="15" w:type="dxa"/>
            <w:left w:w="15" w:type="dxa"/>
            <w:bottom w:w="15" w:type="dxa"/>
            <w:right w:w="15" w:type="dxa"/>
          </w:tblCellMar>
        </w:tblPrEx>
        <w:trPr>
          <w:trHeight w:val="570"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专项债务</w:t>
            </w: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一、上年末地方政府债务余额</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166808</w:t>
            </w: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二、本年地方政府债务余额限额(预算数)</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266900</w:t>
            </w: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三、本年地方政府债务(转贷)收入</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180000</w:t>
            </w: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四、本年地方政府债务还本支出</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80480</w:t>
            </w: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五、本年采用其他方式化解的债务本金</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825" w:hRule="atLeast"/>
          <w:jc w:val="center"/>
        </w:trPr>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六、年末地方政府债务余额</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266328</w:t>
            </w:r>
          </w:p>
        </w:tc>
      </w:tr>
    </w:tbl>
    <w:p/>
    <w:p/>
    <w:p/>
    <w:p/>
    <w:p/>
    <w:p/>
    <w:p/>
    <w:p/>
    <w:p/>
    <w:p>
      <w:pPr>
        <w:pStyle w:val="2"/>
        <w:rPr>
          <w:rFonts w:hint="default"/>
        </w:rPr>
      </w:pPr>
    </w:p>
    <w:p>
      <w:pPr>
        <w:pStyle w:val="2"/>
        <w:rPr>
          <w:rFonts w:hint="default"/>
        </w:rPr>
      </w:pPr>
    </w:p>
    <w:p>
      <w:pPr>
        <w:pStyle w:val="2"/>
        <w:rPr>
          <w:rFonts w:hint="default"/>
        </w:rPr>
      </w:pPr>
    </w:p>
    <w:tbl>
      <w:tblPr>
        <w:tblStyle w:val="11"/>
        <w:tblW w:w="9285" w:type="dxa"/>
        <w:jc w:val="center"/>
        <w:tblInd w:w="-474" w:type="dxa"/>
        <w:tblLayout w:type="fixed"/>
        <w:tblCellMar>
          <w:top w:w="15" w:type="dxa"/>
          <w:left w:w="15" w:type="dxa"/>
          <w:bottom w:w="15" w:type="dxa"/>
          <w:right w:w="15" w:type="dxa"/>
        </w:tblCellMar>
      </w:tblPr>
      <w:tblGrid>
        <w:gridCol w:w="4006"/>
        <w:gridCol w:w="1065"/>
        <w:gridCol w:w="1065"/>
        <w:gridCol w:w="1035"/>
        <w:gridCol w:w="1005"/>
        <w:gridCol w:w="1109"/>
      </w:tblGrid>
      <w:tr>
        <w:tblPrEx>
          <w:tblLayout w:type="fixed"/>
          <w:tblCellMar>
            <w:top w:w="15" w:type="dxa"/>
            <w:left w:w="15" w:type="dxa"/>
            <w:bottom w:w="15" w:type="dxa"/>
            <w:right w:w="15" w:type="dxa"/>
          </w:tblCellMar>
        </w:tblPrEx>
        <w:trPr>
          <w:trHeight w:val="840" w:hRule="atLeast"/>
          <w:jc w:val="center"/>
        </w:trPr>
        <w:tc>
          <w:tcPr>
            <w:tcW w:w="9285" w:type="dxa"/>
            <w:gridSpan w:val="6"/>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2019年国有资本经营预算收入决算表</w:t>
            </w:r>
          </w:p>
        </w:tc>
      </w:tr>
      <w:tr>
        <w:tblPrEx>
          <w:tblLayout w:type="fixed"/>
          <w:tblCellMar>
            <w:top w:w="15" w:type="dxa"/>
            <w:left w:w="15" w:type="dxa"/>
            <w:bottom w:w="15" w:type="dxa"/>
            <w:right w:w="15" w:type="dxa"/>
          </w:tblCellMar>
        </w:tblPrEx>
        <w:trPr>
          <w:trHeight w:val="420" w:hRule="atLeast"/>
          <w:jc w:val="center"/>
        </w:trPr>
        <w:tc>
          <w:tcPr>
            <w:tcW w:w="4006" w:type="dxa"/>
            <w:shd w:val="clear" w:color="auto" w:fill="auto"/>
            <w:vAlign w:val="center"/>
          </w:tcPr>
          <w:p>
            <w:pPr>
              <w:rPr>
                <w:rFonts w:ascii="宋体" w:hAnsi="宋体" w:eastAsia="宋体" w:cs="宋体"/>
                <w:color w:val="000000"/>
                <w:sz w:val="22"/>
                <w:szCs w:val="22"/>
              </w:rPr>
            </w:pPr>
          </w:p>
        </w:tc>
        <w:tc>
          <w:tcPr>
            <w:tcW w:w="1065" w:type="dxa"/>
            <w:shd w:val="clear" w:color="auto" w:fill="auto"/>
            <w:vAlign w:val="center"/>
          </w:tcPr>
          <w:p>
            <w:pPr>
              <w:jc w:val="right"/>
              <w:rPr>
                <w:rFonts w:ascii="宋体" w:hAnsi="宋体" w:eastAsia="宋体" w:cs="宋体"/>
                <w:color w:val="000000"/>
                <w:sz w:val="22"/>
                <w:szCs w:val="22"/>
              </w:rPr>
            </w:pPr>
          </w:p>
        </w:tc>
        <w:tc>
          <w:tcPr>
            <w:tcW w:w="1065" w:type="dxa"/>
            <w:shd w:val="clear" w:color="auto" w:fill="auto"/>
            <w:vAlign w:val="center"/>
          </w:tcPr>
          <w:p>
            <w:pPr>
              <w:rPr>
                <w:rFonts w:ascii="宋体" w:hAnsi="宋体" w:eastAsia="宋体" w:cs="宋体"/>
                <w:color w:val="000000"/>
                <w:sz w:val="22"/>
                <w:szCs w:val="22"/>
              </w:rPr>
            </w:pPr>
          </w:p>
        </w:tc>
        <w:tc>
          <w:tcPr>
            <w:tcW w:w="3149" w:type="dxa"/>
            <w:gridSpan w:val="3"/>
            <w:tcBorders>
              <w:bottom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Layout w:type="fixed"/>
          <w:tblCellMar>
            <w:top w:w="15" w:type="dxa"/>
            <w:left w:w="15" w:type="dxa"/>
            <w:bottom w:w="15" w:type="dxa"/>
            <w:right w:w="15" w:type="dxa"/>
          </w:tblCellMar>
        </w:tblPrEx>
        <w:trPr>
          <w:trHeight w:val="795"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   目</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上年实绩</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本年预算</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本年决算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完成预算的％</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比上年同期增减%</w:t>
            </w: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402" w:firstLineChars="200"/>
              <w:jc w:val="lef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国有资本经营收入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24000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300.0</w:t>
            </w: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1.利润收入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784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247</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1390.8</w:t>
            </w: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2.股利、股息收入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1563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149</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56.3</w:t>
            </w: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3.产权转让收入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4.清算收入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80" w:hRule="atLeast"/>
          <w:jc w:val="center"/>
        </w:trPr>
        <w:tc>
          <w:tcPr>
            <w:tcW w:w="4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5.其他国有资本经营预算收入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4870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-38.4</w:t>
            </w:r>
          </w:p>
        </w:tc>
      </w:tr>
    </w:tbl>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tbl>
      <w:tblPr>
        <w:tblStyle w:val="11"/>
        <w:tblW w:w="76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12"/>
        <w:gridCol w:w="980"/>
        <w:gridCol w:w="995"/>
        <w:gridCol w:w="995"/>
        <w:gridCol w:w="980"/>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632" w:type="dxa"/>
            <w:gridSpan w:val="6"/>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2019年国有资本经营预算支出决算表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国有资本经营支出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24000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24000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1.解决历史遗留问题及改革成本支出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2.国有企业资本金注入</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3.国有企业政策性补贴</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4.金融国有资本经营预算支出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5.其他国有资本经营预算支出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其他国有资本经营预算支出</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6.转移性支出（调出资金）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22100</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国有资本经营预算调出资金</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22100</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r>
    </w:tbl>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1"/>
        <w:tblW w:w="9823" w:type="dxa"/>
        <w:jc w:val="center"/>
        <w:tblInd w:w="0" w:type="dxa"/>
        <w:tblLayout w:type="fixed"/>
        <w:tblCellMar>
          <w:top w:w="15" w:type="dxa"/>
          <w:left w:w="15" w:type="dxa"/>
          <w:bottom w:w="15" w:type="dxa"/>
          <w:right w:w="15" w:type="dxa"/>
        </w:tblCellMar>
      </w:tblPr>
      <w:tblGrid>
        <w:gridCol w:w="3361"/>
        <w:gridCol w:w="1380"/>
        <w:gridCol w:w="3702"/>
        <w:gridCol w:w="1380"/>
      </w:tblGrid>
      <w:tr>
        <w:tblPrEx>
          <w:tblLayout w:type="fixed"/>
          <w:tblCellMar>
            <w:top w:w="15" w:type="dxa"/>
            <w:left w:w="15" w:type="dxa"/>
            <w:bottom w:w="15" w:type="dxa"/>
            <w:right w:w="15" w:type="dxa"/>
          </w:tblCellMar>
        </w:tblPrEx>
        <w:trPr>
          <w:trHeight w:val="825" w:hRule="atLeast"/>
          <w:jc w:val="center"/>
        </w:trPr>
        <w:tc>
          <w:tcPr>
            <w:tcW w:w="9823" w:type="dxa"/>
            <w:gridSpan w:val="4"/>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2019年国有资本经营转移支付决算表</w:t>
            </w:r>
          </w:p>
        </w:tc>
      </w:tr>
      <w:tr>
        <w:tblPrEx>
          <w:tblLayout w:type="fixed"/>
          <w:tblCellMar>
            <w:top w:w="15" w:type="dxa"/>
            <w:left w:w="15" w:type="dxa"/>
            <w:bottom w:w="15" w:type="dxa"/>
            <w:right w:w="15" w:type="dxa"/>
          </w:tblCellMar>
        </w:tblPrEx>
        <w:trPr>
          <w:trHeight w:val="465" w:hRule="atLeast"/>
          <w:jc w:val="center"/>
        </w:trPr>
        <w:tc>
          <w:tcPr>
            <w:tcW w:w="9823" w:type="dxa"/>
            <w:gridSpan w:val="4"/>
            <w:tcBorders>
              <w:bottom w:val="single" w:color="000000" w:sz="4" w:space="0"/>
            </w:tcBorders>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单位：万元</w:t>
            </w:r>
          </w:p>
        </w:tc>
      </w:tr>
      <w:tr>
        <w:tblPrEx>
          <w:tblLayout w:type="fixed"/>
          <w:tblCellMar>
            <w:top w:w="15" w:type="dxa"/>
            <w:left w:w="15" w:type="dxa"/>
            <w:bottom w:w="15" w:type="dxa"/>
            <w:right w:w="15" w:type="dxa"/>
          </w:tblCellMar>
        </w:tblPrEx>
        <w:trPr>
          <w:trHeight w:val="900"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项目</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决算数</w:t>
            </w: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项目</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决算数</w:t>
            </w: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国有资本经营收入</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24000</w:t>
            </w: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国有资本经营支出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24000</w:t>
            </w:r>
          </w:p>
        </w:tc>
      </w:tr>
      <w:tr>
        <w:tblPrEx>
          <w:tblLayout w:type="fixed"/>
          <w:tblCellMar>
            <w:top w:w="15" w:type="dxa"/>
            <w:left w:w="15" w:type="dxa"/>
            <w:bottom w:w="15" w:type="dxa"/>
            <w:right w:w="15" w:type="dxa"/>
          </w:tblCellMar>
        </w:tblPrEx>
        <w:trPr>
          <w:trHeight w:val="480"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center"/>
              <w:textAlignment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（一）解决历史遗留问题及改革成本支出</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center"/>
              <w:textAlignment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（二）国有企业资本金注入</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center"/>
              <w:textAlignment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（三）国有企业政策性补贴</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center"/>
              <w:textAlignment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（四）金融国有资本经营预算支出</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（五）其他国有资本经营预算支出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1900</w:t>
            </w: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国有资本经营预算调出资金</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22100</w:t>
            </w:r>
          </w:p>
        </w:tc>
      </w:tr>
      <w:tr>
        <w:tblPrEx>
          <w:tblLayout w:type="fixed"/>
          <w:tblCellMar>
            <w:top w:w="15" w:type="dxa"/>
            <w:left w:w="15" w:type="dxa"/>
            <w:bottom w:w="15" w:type="dxa"/>
            <w:right w:w="15" w:type="dxa"/>
          </w:tblCellMar>
        </w:tblPrEx>
        <w:trPr>
          <w:trHeight w:val="675" w:hRule="atLeast"/>
          <w:jc w:val="center"/>
        </w:trPr>
        <w:tc>
          <w:tcPr>
            <w:tcW w:w="33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收  入  总  计</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24000</w:t>
            </w:r>
          </w:p>
        </w:tc>
        <w:tc>
          <w:tcPr>
            <w:tcW w:w="3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支  出  总  计</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24000</w:t>
            </w:r>
          </w:p>
        </w:tc>
      </w:tr>
    </w:tbl>
    <w:p>
      <w:r>
        <w:rPr>
          <w:rFonts w:hint="eastAsia"/>
        </w:rPr>
        <w:t>备注：国有资本经营预算无对下安排的转移支付</w:t>
      </w:r>
    </w:p>
    <w:p/>
    <w:p/>
    <w:p/>
    <w:p/>
    <w:p/>
    <w:p/>
    <w:p/>
    <w:p/>
    <w:p>
      <w:pPr>
        <w:pStyle w:val="2"/>
        <w:rPr>
          <w:rFonts w:hint="default"/>
        </w:rPr>
      </w:pPr>
    </w:p>
    <w:tbl>
      <w:tblPr>
        <w:tblStyle w:val="11"/>
        <w:tblW w:w="9690" w:type="dxa"/>
        <w:jc w:val="center"/>
        <w:tblInd w:w="-677" w:type="dxa"/>
        <w:tblLayout w:type="fixed"/>
        <w:tblCellMar>
          <w:top w:w="15" w:type="dxa"/>
          <w:left w:w="15" w:type="dxa"/>
          <w:bottom w:w="15" w:type="dxa"/>
          <w:right w:w="15" w:type="dxa"/>
        </w:tblCellMar>
      </w:tblPr>
      <w:tblGrid>
        <w:gridCol w:w="3556"/>
        <w:gridCol w:w="1291"/>
        <w:gridCol w:w="1200"/>
        <w:gridCol w:w="1155"/>
        <w:gridCol w:w="1366"/>
        <w:gridCol w:w="1122"/>
      </w:tblGrid>
      <w:tr>
        <w:tblPrEx>
          <w:tblLayout w:type="fixed"/>
          <w:tblCellMar>
            <w:top w:w="15" w:type="dxa"/>
            <w:left w:w="15" w:type="dxa"/>
            <w:bottom w:w="15" w:type="dxa"/>
            <w:right w:w="15" w:type="dxa"/>
          </w:tblCellMar>
        </w:tblPrEx>
        <w:trPr>
          <w:trHeight w:val="405" w:hRule="atLeast"/>
          <w:jc w:val="center"/>
        </w:trPr>
        <w:tc>
          <w:tcPr>
            <w:tcW w:w="9690" w:type="dxa"/>
            <w:gridSpan w:val="6"/>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bCs/>
                <w:kern w:val="0"/>
                <w:sz w:val="44"/>
                <w:szCs w:val="44"/>
              </w:rPr>
              <w:t>2019年社会保险基金收入决算表</w:t>
            </w:r>
          </w:p>
        </w:tc>
      </w:tr>
      <w:tr>
        <w:tblPrEx>
          <w:tblLayout w:type="fixed"/>
          <w:tblCellMar>
            <w:top w:w="15" w:type="dxa"/>
            <w:left w:w="15" w:type="dxa"/>
            <w:bottom w:w="15" w:type="dxa"/>
            <w:right w:w="15" w:type="dxa"/>
          </w:tblCellMar>
        </w:tblPrEx>
        <w:trPr>
          <w:trHeight w:val="286" w:hRule="atLeast"/>
          <w:jc w:val="center"/>
        </w:trPr>
        <w:tc>
          <w:tcPr>
            <w:tcW w:w="3556" w:type="dxa"/>
            <w:shd w:val="clear" w:color="auto" w:fill="auto"/>
            <w:vAlign w:val="bottom"/>
          </w:tcPr>
          <w:p>
            <w:pPr>
              <w:rPr>
                <w:rFonts w:ascii="宋体" w:hAnsi="宋体" w:eastAsia="宋体" w:cs="宋体"/>
                <w:color w:val="000000"/>
                <w:sz w:val="22"/>
                <w:szCs w:val="22"/>
              </w:rPr>
            </w:pPr>
          </w:p>
        </w:tc>
        <w:tc>
          <w:tcPr>
            <w:tcW w:w="6134" w:type="dxa"/>
            <w:gridSpan w:val="5"/>
            <w:tcBorders>
              <w:bottom w:val="single" w:color="000000" w:sz="4" w:space="0"/>
            </w:tcBorders>
            <w:shd w:val="clear" w:color="auto" w:fill="auto"/>
            <w:vAlign w:val="bottom"/>
          </w:tcPr>
          <w:p>
            <w:pPr>
              <w:widowControl/>
              <w:jc w:val="righ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单位：万元</w:t>
            </w:r>
          </w:p>
        </w:tc>
      </w:tr>
      <w:tr>
        <w:tblPrEx>
          <w:tblLayout w:type="fixed"/>
          <w:tblCellMar>
            <w:top w:w="15" w:type="dxa"/>
            <w:left w:w="15" w:type="dxa"/>
            <w:bottom w:w="15" w:type="dxa"/>
            <w:right w:w="15" w:type="dxa"/>
          </w:tblCellMar>
        </w:tblPrEx>
        <w:trPr>
          <w:trHeight w:val="480" w:hRule="atLeast"/>
          <w:jc w:val="center"/>
        </w:trPr>
        <w:tc>
          <w:tcPr>
            <w:tcW w:w="35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    目</w:t>
            </w:r>
          </w:p>
        </w:tc>
        <w:tc>
          <w:tcPr>
            <w:tcW w:w="1291"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上年实绩</w:t>
            </w:r>
          </w:p>
        </w:tc>
        <w:tc>
          <w:tcPr>
            <w:tcW w:w="1200" w:type="dxa"/>
            <w:tcBorders>
              <w:top w:val="single" w:color="000000" w:sz="4" w:space="0"/>
              <w:bottom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本年预算</w:t>
            </w:r>
          </w:p>
        </w:tc>
        <w:tc>
          <w:tcPr>
            <w:tcW w:w="115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本年决算</w:t>
            </w:r>
          </w:p>
        </w:tc>
        <w:tc>
          <w:tcPr>
            <w:tcW w:w="136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完成预算的％</w:t>
            </w:r>
          </w:p>
        </w:tc>
        <w:tc>
          <w:tcPr>
            <w:tcW w:w="112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比上年同期增减％</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一、社会保险基金收入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411259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421803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438617</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104.0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6.7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1.企业职工基本养老保险基金收入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201594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228582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243828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106.7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21.0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2.城乡居民基本养老保险基金收入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30921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20057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22119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110.3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-28.5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3.机关事业单位基本养老保险基金</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51130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47652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56658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118.9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10.8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4.城镇职工基本医疗保险基金收入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75237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68922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64010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92.9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-14.9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5.城乡居民基本医疗保险基金收入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39815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44471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40307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90.6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6.失业保险基金收入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4573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5020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4696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2.7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7.工伤保险基金收入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5708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4714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4824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102.3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-15.5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22"/>
                <w:rFonts w:hint="default"/>
              </w:rPr>
              <w:t xml:space="preserve">    8.生育保险基金收入</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2281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2385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2175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91.2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-4.6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二、上年结余</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79958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97944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63029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64.4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-21.2 </w:t>
            </w:r>
          </w:p>
        </w:tc>
      </w:tr>
      <w:tr>
        <w:tblPrEx>
          <w:tblLayout w:type="fixed"/>
          <w:tblCellMar>
            <w:top w:w="15" w:type="dxa"/>
            <w:left w:w="15" w:type="dxa"/>
            <w:bottom w:w="15" w:type="dxa"/>
            <w:right w:w="15" w:type="dxa"/>
          </w:tblCellMar>
        </w:tblPrEx>
        <w:trPr>
          <w:trHeight w:val="360" w:hRule="atLeast"/>
          <w:jc w:val="center"/>
        </w:trPr>
        <w:tc>
          <w:tcPr>
            <w:tcW w:w="3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收入合计</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491217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519747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 xml:space="preserve">501646 </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0"/>
                <w:szCs w:val="20"/>
              </w:rPr>
            </w:pPr>
          </w:p>
        </w:tc>
      </w:tr>
    </w:tbl>
    <w:p>
      <w:pPr>
        <w:pStyle w:val="2"/>
        <w:rPr>
          <w:rFonts w:hint="default"/>
        </w:rPr>
      </w:pPr>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W w:w="8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25"/>
        <w:gridCol w:w="1170"/>
        <w:gridCol w:w="974"/>
        <w:gridCol w:w="2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8488" w:type="dxa"/>
            <w:gridSpan w:val="4"/>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2019年社会保险基金支出决算表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488" w:type="dxa"/>
            <w:gridSpan w:val="4"/>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663"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2018年执行数</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2019年执行数</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417639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449667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一、企业职工基本养老保险基金支出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234695</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257843</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2090101</w:t>
            </w:r>
            <w:r>
              <w:rPr>
                <w:rStyle w:val="25"/>
                <w:lang w:val="en-US" w:eastAsia="zh-CN" w:bidi="ar"/>
              </w:rPr>
              <w:t>基本养老金</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226290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2090103</w:t>
            </w:r>
            <w:r>
              <w:rPr>
                <w:rStyle w:val="25"/>
                <w:lang w:val="en-US" w:eastAsia="zh-CN" w:bidi="ar"/>
              </w:rPr>
              <w:t>丧葬抚恤补助</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1843</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230</w:t>
            </w:r>
            <w:r>
              <w:rPr>
                <w:rStyle w:val="25"/>
                <w:lang w:val="en-US" w:eastAsia="zh-CN" w:bidi="ar"/>
              </w:rPr>
              <w:t>转移支出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1824</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1101402</w:t>
            </w:r>
            <w:r>
              <w:rPr>
                <w:rStyle w:val="25"/>
                <w:lang w:val="en-US" w:eastAsia="zh-CN" w:bidi="ar"/>
              </w:rPr>
              <w:t>社会保险基金上解上级支出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4738</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4219</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二、失业保险基金支出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10179</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2090201</w:t>
            </w:r>
            <w:r>
              <w:rPr>
                <w:rStyle w:val="25"/>
                <w:lang w:val="en-US" w:eastAsia="zh-CN" w:bidi="ar"/>
              </w:rPr>
              <w:t>失业保险金</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2090202</w:t>
            </w:r>
            <w:r>
              <w:rPr>
                <w:rStyle w:val="25"/>
                <w:lang w:val="en-US" w:eastAsia="zh-CN" w:bidi="ar"/>
              </w:rPr>
              <w:t>医疗保险费</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2090205</w:t>
            </w:r>
            <w:r>
              <w:rPr>
                <w:rStyle w:val="25"/>
                <w:lang w:val="en-US" w:eastAsia="zh-CN" w:bidi="ar"/>
              </w:rPr>
              <w:t>技能提升补贴支出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2090299</w:t>
            </w:r>
            <w:r>
              <w:rPr>
                <w:rStyle w:val="25"/>
                <w:lang w:val="en-US" w:eastAsia="zh-CN" w:bidi="ar"/>
              </w:rPr>
              <w:t>其他失业保险基金支出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5134.0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230</w:t>
            </w:r>
            <w:r>
              <w:rPr>
                <w:rStyle w:val="25"/>
                <w:lang w:val="en-US" w:eastAsia="zh-CN" w:bidi="ar"/>
              </w:rPr>
              <w:t>转移支出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1101402</w:t>
            </w:r>
            <w:r>
              <w:rPr>
                <w:rStyle w:val="25"/>
                <w:lang w:val="en-US" w:eastAsia="zh-CN" w:bidi="ar"/>
              </w:rPr>
              <w:t>社会保险基金上解上级支出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三、城镇职工基本医疗保险基金支出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57408</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68302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2090301</w:t>
            </w:r>
            <w:r>
              <w:rPr>
                <w:rStyle w:val="25"/>
                <w:lang w:val="en-US" w:eastAsia="zh-CN" w:bidi="ar"/>
              </w:rPr>
              <w:t>职工基本医疗保险统筹基金</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38853</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45682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2090302</w:t>
            </w:r>
            <w:r>
              <w:rPr>
                <w:rStyle w:val="25"/>
                <w:lang w:val="en-US" w:eastAsia="zh-CN" w:bidi="ar"/>
              </w:rPr>
              <w:t>职工基本医疗保险个人账户基金</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17982</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20561</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2090399</w:t>
            </w:r>
            <w:r>
              <w:rPr>
                <w:rStyle w:val="25"/>
                <w:lang w:val="en-US" w:eastAsia="zh-CN" w:bidi="ar"/>
              </w:rPr>
              <w:t>其他职工基本医疗保险基金支出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230</w:t>
            </w:r>
            <w:r>
              <w:rPr>
                <w:rStyle w:val="25"/>
                <w:lang w:val="en-US" w:eastAsia="zh-CN" w:bidi="ar"/>
              </w:rPr>
              <w:t>转移支出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1101402</w:t>
            </w:r>
            <w:r>
              <w:rPr>
                <w:rStyle w:val="25"/>
                <w:lang w:val="en-US" w:eastAsia="zh-CN" w:bidi="ar"/>
              </w:rPr>
              <w:t>社会保险基金上解上级支出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四、工伤保险基金支出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3837</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4583</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2090401</w:t>
            </w:r>
            <w:r>
              <w:rPr>
                <w:rStyle w:val="25"/>
                <w:lang w:val="en-US" w:eastAsia="zh-CN" w:bidi="ar"/>
              </w:rPr>
              <w:t>工伤保险待遇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3744</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4525</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2090402</w:t>
            </w:r>
            <w:r>
              <w:rPr>
                <w:rStyle w:val="25"/>
                <w:lang w:val="en-US" w:eastAsia="zh-CN" w:bidi="ar"/>
              </w:rPr>
              <w:t>劳动能力鉴定支出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1101402</w:t>
            </w:r>
            <w:r>
              <w:rPr>
                <w:rStyle w:val="25"/>
                <w:lang w:val="en-US" w:eastAsia="zh-CN" w:bidi="ar"/>
              </w:rPr>
              <w:t>社会保险基金上解上级支出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五、生育保险基金支出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3587</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2090501</w:t>
            </w:r>
            <w:r>
              <w:rPr>
                <w:rStyle w:val="25"/>
                <w:lang w:val="en-US" w:eastAsia="zh-CN" w:bidi="ar"/>
              </w:rPr>
              <w:t>生育医疗费用支出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2090502</w:t>
            </w:r>
            <w:r>
              <w:rPr>
                <w:rStyle w:val="25"/>
                <w:lang w:val="en-US" w:eastAsia="zh-CN" w:bidi="ar"/>
              </w:rPr>
              <w:t>生育津贴支出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3015</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2516</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六、城乡居民社会养老保险基金支出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32106</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18816</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2091001</w:t>
            </w:r>
            <w:r>
              <w:rPr>
                <w:rStyle w:val="25"/>
                <w:lang w:val="en-US" w:eastAsia="zh-CN" w:bidi="ar"/>
              </w:rPr>
              <w:t>基础养老金支出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14536</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14626</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2091002</w:t>
            </w:r>
            <w:r>
              <w:rPr>
                <w:rStyle w:val="25"/>
                <w:lang w:val="en-US" w:eastAsia="zh-CN" w:bidi="ar"/>
              </w:rPr>
              <w:t>个人账户养老金支出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4536</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2091003</w:t>
            </w:r>
            <w:r>
              <w:rPr>
                <w:rStyle w:val="25"/>
                <w:lang w:val="en-US" w:eastAsia="zh-CN" w:bidi="ar"/>
              </w:rPr>
              <w:t>丧葬抚恤补助支出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230</w:t>
            </w:r>
            <w:r>
              <w:rPr>
                <w:rStyle w:val="25"/>
                <w:lang w:val="en-US" w:eastAsia="zh-CN" w:bidi="ar"/>
              </w:rPr>
              <w:t>转移支出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12281</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七、城乡居民基本医疗保险基金支出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39353</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38940</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2091201</w:t>
            </w:r>
            <w:r>
              <w:rPr>
                <w:rStyle w:val="25"/>
                <w:lang w:val="en-US" w:eastAsia="zh-CN" w:bidi="ar"/>
              </w:rPr>
              <w:t>城乡居民基本医疗保险基金医疗待遇支出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38582</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36361</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2091202</w:t>
            </w:r>
            <w:r>
              <w:rPr>
                <w:rStyle w:val="25"/>
                <w:lang w:val="en-US" w:eastAsia="zh-CN" w:bidi="ar"/>
              </w:rPr>
              <w:t>大病医疗保险支出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2084</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2091299</w:t>
            </w:r>
            <w:r>
              <w:rPr>
                <w:rStyle w:val="25"/>
                <w:lang w:val="en-US" w:eastAsia="zh-CN" w:bidi="ar"/>
              </w:rPr>
              <w:t>其他城乡居民基本医疗保险基金支出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八、机关事业单位基本养老保险基金支出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44944</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48077</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2091101</w:t>
            </w:r>
            <w:r>
              <w:rPr>
                <w:rStyle w:val="25"/>
                <w:lang w:val="en-US" w:eastAsia="zh-CN" w:bidi="ar"/>
              </w:rPr>
              <w:t>基本养老金支出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44520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47935</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Style w:val="24"/>
                <w:rFonts w:eastAsia="宋体"/>
                <w:lang w:val="en-US" w:eastAsia="zh-CN" w:bidi="ar"/>
              </w:rPr>
              <w:t>230</w:t>
            </w:r>
            <w:r>
              <w:rPr>
                <w:rStyle w:val="25"/>
                <w:lang w:val="en-US" w:eastAsia="zh-CN" w:bidi="ar"/>
              </w:rPr>
              <w:t>转移支出</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25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-66.5 </w:t>
            </w:r>
          </w:p>
        </w:tc>
      </w:tr>
    </w:tbl>
    <w:p>
      <w:pPr>
        <w:pStyle w:val="2"/>
        <w:rPr>
          <w:rFonts w:hint="default"/>
        </w:rPr>
      </w:pPr>
    </w:p>
    <w:p>
      <w:pPr>
        <w:pStyle w:val="2"/>
        <w:rPr>
          <w:rFonts w:hint="default"/>
        </w:rPr>
      </w:pPr>
    </w:p>
    <w:p>
      <w:pPr>
        <w:pStyle w:val="2"/>
        <w:rPr>
          <w:rFonts w:hint="default"/>
        </w:rPr>
      </w:pPr>
    </w:p>
    <w:tbl>
      <w:tblPr>
        <w:tblStyle w:val="11"/>
        <w:tblW w:w="10940" w:type="dxa"/>
        <w:jc w:val="center"/>
        <w:tblInd w:w="93" w:type="dxa"/>
        <w:tblLayout w:type="fixed"/>
        <w:tblCellMar>
          <w:top w:w="0" w:type="dxa"/>
          <w:left w:w="108" w:type="dxa"/>
          <w:bottom w:w="0" w:type="dxa"/>
          <w:right w:w="108" w:type="dxa"/>
        </w:tblCellMar>
      </w:tblPr>
      <w:tblGrid>
        <w:gridCol w:w="3820"/>
        <w:gridCol w:w="1920"/>
        <w:gridCol w:w="1920"/>
        <w:gridCol w:w="1920"/>
        <w:gridCol w:w="1360"/>
      </w:tblGrid>
      <w:tr>
        <w:tblPrEx>
          <w:tblLayout w:type="fixed"/>
          <w:tblCellMar>
            <w:top w:w="0" w:type="dxa"/>
            <w:left w:w="108" w:type="dxa"/>
            <w:bottom w:w="0" w:type="dxa"/>
            <w:right w:w="108" w:type="dxa"/>
          </w:tblCellMar>
        </w:tblPrEx>
        <w:trPr>
          <w:trHeight w:val="405" w:hRule="atLeast"/>
          <w:jc w:val="center"/>
        </w:trPr>
        <w:tc>
          <w:tcPr>
            <w:tcW w:w="10940" w:type="dxa"/>
            <w:gridSpan w:val="5"/>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36"/>
                <w:szCs w:val="36"/>
                <w:highlight w:val="none"/>
              </w:rPr>
            </w:pPr>
            <w:r>
              <w:rPr>
                <w:rFonts w:hint="eastAsia" w:ascii="宋体" w:hAnsi="宋体" w:eastAsia="宋体" w:cs="宋体"/>
                <w:b/>
                <w:bCs/>
                <w:color w:val="000000"/>
                <w:kern w:val="0"/>
                <w:sz w:val="36"/>
                <w:szCs w:val="36"/>
                <w:highlight w:val="none"/>
              </w:rPr>
              <w:t>建德市2019年“三公”经费决算表</w:t>
            </w:r>
          </w:p>
        </w:tc>
      </w:tr>
      <w:tr>
        <w:tblPrEx>
          <w:tblLayout w:type="fixed"/>
          <w:tblCellMar>
            <w:top w:w="0" w:type="dxa"/>
            <w:left w:w="108" w:type="dxa"/>
            <w:bottom w:w="0" w:type="dxa"/>
            <w:right w:w="108" w:type="dxa"/>
          </w:tblCellMar>
        </w:tblPrEx>
        <w:trPr>
          <w:trHeight w:val="510" w:hRule="atLeast"/>
          <w:jc w:val="center"/>
        </w:trPr>
        <w:tc>
          <w:tcPr>
            <w:tcW w:w="38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金额：万元</w:t>
            </w:r>
          </w:p>
        </w:tc>
      </w:tr>
      <w:tr>
        <w:tblPrEx>
          <w:tblLayout w:type="fixed"/>
          <w:tblCellMar>
            <w:top w:w="0" w:type="dxa"/>
            <w:left w:w="108" w:type="dxa"/>
            <w:bottom w:w="0" w:type="dxa"/>
            <w:right w:w="108" w:type="dxa"/>
          </w:tblCellMar>
        </w:tblPrEx>
        <w:trPr>
          <w:trHeight w:val="675" w:hRule="atLeast"/>
          <w:jc w:val="center"/>
        </w:trPr>
        <w:tc>
          <w:tcPr>
            <w:tcW w:w="3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项目</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2019年决算数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2018年决算数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增幅</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备注</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三公经费合计</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3158.27</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3521.4</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-10.31%</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1、因公出国（境）费用</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247.42</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232.3</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6.51%</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2、公务接待费</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1198.56</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1422.96</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-15.77%</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3、公务用车购置及运行维护费小计</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1712.29</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1866.18</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-8.25%</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其中：公务用车购置</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456.29</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347.56</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31.28%</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     公务用车运行维护费</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1256.00</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1518.61</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-17.29%</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w:t>
            </w:r>
          </w:p>
        </w:tc>
      </w:tr>
      <w:tr>
        <w:tblPrEx>
          <w:tblLayout w:type="fixed"/>
          <w:tblCellMar>
            <w:top w:w="0" w:type="dxa"/>
            <w:left w:w="108" w:type="dxa"/>
            <w:bottom w:w="0" w:type="dxa"/>
            <w:right w:w="108" w:type="dxa"/>
          </w:tblCellMar>
        </w:tblPrEx>
        <w:trPr>
          <w:trHeight w:val="660" w:hRule="atLeast"/>
          <w:jc w:val="center"/>
        </w:trPr>
        <w:tc>
          <w:tcPr>
            <w:tcW w:w="10940" w:type="dxa"/>
            <w:gridSpan w:val="5"/>
            <w:tcBorders>
              <w:top w:val="single" w:color="auto" w:sz="4" w:space="0"/>
              <w:left w:val="nil"/>
              <w:bottom w:val="nil"/>
              <w:right w:val="nil"/>
            </w:tcBorders>
            <w:shd w:val="clear" w:color="auto" w:fill="auto"/>
            <w:vAlign w:val="bottom"/>
          </w:tcPr>
          <w:p>
            <w:pPr>
              <w:widowControl/>
              <w:jc w:val="left"/>
              <w:rPr>
                <w:rFonts w:ascii="宋体" w:hAnsi="宋体" w:eastAsia="宋体" w:cs="宋体"/>
                <w:color w:val="000000"/>
                <w:kern w:val="0"/>
                <w:sz w:val="22"/>
                <w:szCs w:val="22"/>
              </w:rPr>
            </w:pPr>
          </w:p>
        </w:tc>
      </w:tr>
    </w:tbl>
    <w:p>
      <w:pPr>
        <w:spacing w:line="240" w:lineRule="exact"/>
        <w:jc w:val="both"/>
        <w:rPr>
          <w:rFonts w:ascii="仿宋_GB2312" w:hAnsi="仿宋_GB2312" w:cs="仿宋_GB2312"/>
          <w:sz w:val="36"/>
          <w:szCs w:val="36"/>
        </w:rPr>
      </w:pPr>
    </w:p>
    <w:p>
      <w:pPr>
        <w:pStyle w:val="2"/>
        <w:rPr>
          <w:rFonts w:ascii="仿宋_GB2312" w:hAnsi="仿宋_GB2312" w:cs="仿宋_GB2312"/>
          <w:sz w:val="36"/>
          <w:szCs w:val="36"/>
        </w:rPr>
      </w:pPr>
    </w:p>
    <w:p>
      <w:pPr>
        <w:pStyle w:val="2"/>
        <w:rPr>
          <w:rFonts w:ascii="仿宋_GB2312" w:hAnsi="仿宋_GB2312" w:cs="仿宋_GB2312"/>
          <w:sz w:val="36"/>
          <w:szCs w:val="36"/>
        </w:rPr>
      </w:pPr>
    </w:p>
    <w:p>
      <w:pPr>
        <w:pStyle w:val="2"/>
        <w:rPr>
          <w:rFonts w:ascii="仿宋_GB2312" w:hAnsi="仿宋_GB2312" w:cs="仿宋_GB2312"/>
          <w:sz w:val="36"/>
          <w:szCs w:val="36"/>
        </w:rPr>
      </w:pPr>
    </w:p>
    <w:p>
      <w:pPr>
        <w:pStyle w:val="2"/>
        <w:rPr>
          <w:rFonts w:ascii="仿宋_GB2312" w:hAnsi="仿宋_GB2312" w:cs="仿宋_GB2312"/>
          <w:sz w:val="36"/>
          <w:szCs w:val="36"/>
        </w:rPr>
      </w:pPr>
      <w:bookmarkStart w:id="0" w:name="_GoBack"/>
      <w:bookmarkEnd w:id="0"/>
    </w:p>
    <w:p>
      <w:pPr>
        <w:ind w:firstLine="720" w:firstLineChars="200"/>
        <w:jc w:val="center"/>
        <w:rPr>
          <w:rFonts w:ascii="宋体" w:eastAsia="宋体" w:cs="仿宋_GB2312" w:hAnsiTheme="minorEastAsia"/>
          <w:sz w:val="36"/>
          <w:szCs w:val="36"/>
        </w:rPr>
      </w:pPr>
      <w:r>
        <w:rPr>
          <w:rFonts w:hint="eastAsia" w:ascii="宋体" w:eastAsia="宋体" w:cs="仿宋_GB2312" w:hAnsiTheme="minorEastAsia"/>
          <w:sz w:val="36"/>
          <w:szCs w:val="36"/>
        </w:rPr>
        <w:t>建德市2019年“三公”经费决算执行情况说明</w:t>
      </w:r>
    </w:p>
    <w:p>
      <w:pPr>
        <w:spacing w:line="240" w:lineRule="exact"/>
        <w:ind w:firstLine="720" w:firstLineChars="200"/>
        <w:jc w:val="center"/>
        <w:rPr>
          <w:rFonts w:ascii="宋体" w:eastAsia="宋体" w:cs="仿宋_GB2312" w:hAnsiTheme="minorEastAsia"/>
          <w:sz w:val="36"/>
          <w:szCs w:val="36"/>
        </w:rPr>
      </w:pP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根据财政部、省财政厅和市财政局关于深入推进地方预决算公开工作的文件精神和要求，经建德市财政局汇总，2019 年我市机关事业单位（含市本级预算单位、乡镇政府及所属学校、乡镇卫生院等单位）因公出国（境）费用、公务接待费和公务用车购置及维护费决算情况如下：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2019 年我市三公经费支出决算为3158.27万元，同比上年决算数减少363.13万元,同比下降10.31%，主要是我市严格控制三公经费的支出。</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1、因公出国（境）费用支出决算247.42万元，比上年增加15.12万元，主要是2018年出国人次有所增长。当年经上级审批、市外事办同意出国（境）33批次，共人次73次。比上年增长20人次。</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2、公务接待费支出决算数1198.56万元，比上年减少224.40万元，主要是严格落实各项规定、公务接待人数和标准不断压缩。</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3、公务用车购置及运维费用支出决算数1712.29万元，其中公务用车购置费用456.29万元，比上年增加108.73万元，主要是本年我市报废旧车较多，2019年更新车辆，同时公安部门等按照上级要求购置了一批特种车辆。公务用车运行和维护费用1256万元，同比上年减少262.61万元，主要原因是我市严肃和规范公务用车的使用，进一步压减公务用车的运维费用。</w:t>
      </w:r>
    </w:p>
    <w:p>
      <w:pPr>
        <w:rPr>
          <w:highlight w:val="red"/>
        </w:rPr>
      </w:pPr>
    </w:p>
    <w:p/>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建德市2019年转移支付执行情况说明</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2019年建德市市对乡镇（街道）转移支付合计76749万元，其中一般转移支付50276万元，专项转移支付26473万元(按我市现行乡镇财政体制，市对乡镇（街道）没有税收返还)。分乡镇（街道）具体情况如下：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2019年建德市市对乡镇（街道）一般转移支付50276万元，其中：新安江街道4110万元、更楼街道4082万元、洋溪街道3081万元、莲花镇523万元、寿昌镇9532万元、航头镇461万元、大慈岩镇1048万元、大同镇3449万元、李家镇2971万元、乾潭镇5839万元、钦堂乡2132万元、梅城镇4650万元、杨村桥镇1630万元、下涯镇4348万元、大洋镇1147万元、三都镇1273万元；专项转移支付36045万元，其中：新安江街道1009万元、更楼街道889万元、洋溪街道552万元、莲花镇719万元、寿昌镇3215万元、航头镇2871万元、大慈岩镇1364万元、大同镇2897万元、李家镇544万元、乾潭镇5972万元、钦堂乡712万元、梅城镇1122万元、杨村桥镇1338万元、下涯镇1009万元、大洋镇1149万元、三都镇1111万元。</w:t>
      </w: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rPr>
          <w:rFonts w:ascii="黑体" w:hAnsi="黑体" w:eastAsia="黑体" w:cs="仿宋_GB2312"/>
          <w:b/>
          <w:bCs/>
          <w:sz w:val="44"/>
          <w:szCs w:val="44"/>
        </w:rPr>
      </w:pPr>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建德市2019年预算绩效工作开展情况说明</w:t>
      </w:r>
    </w:p>
    <w:p>
      <w:pPr>
        <w:numPr>
          <w:ilvl w:val="0"/>
          <w:numId w:val="2"/>
        </w:numPr>
        <w:spacing w:line="360" w:lineRule="auto"/>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加强预算绩效管理制度机制建设。一是加强预算绩效管理顶层设计，起草本市《关于全面落实预算绩效管理的实施意见》，呈送市委、市政府审定发文。二是提出我市全面实施预算绩效管理的时间表和路线图，发布《建德市全面落实预算绩效管理三年行动计划（2019-2021年）》。三是将部门预算绩效管理情况纳入市综合考评。</w:t>
      </w:r>
    </w:p>
    <w:p>
      <w:pPr>
        <w:numPr>
          <w:ilvl w:val="0"/>
          <w:numId w:val="2"/>
        </w:numPr>
        <w:spacing w:line="360" w:lineRule="auto"/>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强化绩效目标和运行监控管理。各部门在编制2020年预算时，同步填报《项目预算绩效目标申报表》，实现绩效目标与预算编制同步填报审核，加强绩效信息与预算管理相互融合，实现预算绩效目标覆盖全部预算单位和全部项目资金。对项目绩效运行和预算执行进度实行“双监控”，完善预算执行进度通报考核机制和存量资金统筹使用机制，提高资金使用绩效。开展</w:t>
      </w:r>
      <w:r>
        <w:rPr>
          <w:rFonts w:ascii="仿宋" w:hAnsi="仿宋" w:eastAsia="仿宋" w:cs="仿宋_GB2312"/>
          <w:bCs/>
          <w:sz w:val="32"/>
          <w:szCs w:val="32"/>
          <w:highlight w:val="none"/>
        </w:rPr>
        <w:t>1</w:t>
      </w:r>
      <w:r>
        <w:rPr>
          <w:rFonts w:hint="eastAsia" w:ascii="仿宋" w:hAnsi="仿宋" w:eastAsia="仿宋" w:cs="仿宋_GB2312"/>
          <w:bCs/>
          <w:sz w:val="32"/>
          <w:szCs w:val="32"/>
          <w:highlight w:val="none"/>
        </w:rPr>
        <w:t>7</w:t>
      </w:r>
      <w:r>
        <w:rPr>
          <w:rFonts w:ascii="仿宋" w:hAnsi="仿宋" w:eastAsia="仿宋" w:cs="仿宋_GB2312"/>
          <w:bCs/>
          <w:sz w:val="32"/>
          <w:szCs w:val="32"/>
          <w:highlight w:val="none"/>
        </w:rPr>
        <w:t>家</w:t>
      </w:r>
      <w:r>
        <w:rPr>
          <w:rFonts w:hint="eastAsia" w:ascii="仿宋" w:hAnsi="仿宋" w:eastAsia="仿宋" w:cs="仿宋_GB2312"/>
          <w:bCs/>
          <w:sz w:val="32"/>
          <w:szCs w:val="32"/>
          <w:highlight w:val="none"/>
        </w:rPr>
        <w:t>行政事业单位财务内控制度执行情况检查，包含财政绩效管理内容；组织对重点绩效目标跟踪督查，会同市人大财经工委、市政协、市审计局相关领导和专家通过座谈、实地走访方式对实施期超过一年的重大项目预算绩效目标管理情况进行跟踪督查。</w:t>
      </w:r>
    </w:p>
    <w:p>
      <w:pPr>
        <w:numPr>
          <w:ilvl w:val="0"/>
          <w:numId w:val="2"/>
        </w:numPr>
        <w:spacing w:line="360" w:lineRule="auto"/>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开展重点绩效评价。</w:t>
      </w:r>
      <w:r>
        <w:rPr>
          <w:rFonts w:ascii="仿宋" w:hAnsi="仿宋" w:eastAsia="仿宋" w:cs="仿宋_GB2312"/>
          <w:bCs/>
          <w:sz w:val="32"/>
          <w:szCs w:val="32"/>
          <w:highlight w:val="none"/>
        </w:rPr>
        <w:t>2019年重点评价项目采用财政部门自行组织评价以及委托社会中介机构评价两种方式实施</w:t>
      </w:r>
      <w:r>
        <w:rPr>
          <w:rFonts w:hint="eastAsia" w:ascii="仿宋" w:hAnsi="仿宋" w:eastAsia="仿宋" w:cs="仿宋_GB2312"/>
          <w:bCs/>
          <w:sz w:val="32"/>
          <w:szCs w:val="32"/>
          <w:highlight w:val="none"/>
        </w:rPr>
        <w:t>，对部分规模较大的民生保障和发展建设项目进行重点绩效评价。2019年重点绩效评价对水库移民后期扶持专项资金、一事一议财政奖补助推美丽乡村建设资金、彩票公益金项目、工业和信息化发展专项、果蔬乐园专项扶持资金、桔香映柳精品示范线建设工程、水上旅游线路开发项目等形成绩效评价报告9份，涉及资金 27485.52万元，已抄送至市同级党委、政府、人大、政协、审计局、财政局各归口管理科室，提高重点项目绩效评价结果的利用率，为次年项目安排以及完善政策设计提供依据。</w:t>
      </w:r>
    </w:p>
    <w:p>
      <w:pPr>
        <w:spacing w:line="360" w:lineRule="auto"/>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四、开展预算项目单位自评及抽评。要求各部门单位对2018年度所有支出项目，开展绩效自评，有针对性选择具有代表性的预算项目，由单位开展并出具项目绩效完成情况自评报告63个，还对绩效跟踪项目开展2019年度情况自评，共涉及财政资金74255.09万元。在单位开展绩效目标自评的过程中，加强对自评方法、绩效指标设定等内容的业务指导。其中选取了7个自评项目进行绩效实施情况抽评，并将自评结果以及抽评结果进行反馈，为次年预算安排以及预算执行管理提供依据。</w:t>
      </w:r>
    </w:p>
    <w:p>
      <w:pPr>
        <w:spacing w:line="360" w:lineRule="auto"/>
        <w:ind w:firstLine="640" w:firstLineChars="200"/>
        <w:jc w:val="left"/>
        <w:rPr>
          <w:rFonts w:ascii="仿宋" w:hAnsi="仿宋" w:eastAsia="仿宋" w:cs="仿宋_GB2312"/>
          <w:bCs/>
          <w:sz w:val="32"/>
          <w:szCs w:val="32"/>
        </w:rPr>
      </w:pPr>
      <w:r>
        <w:rPr>
          <w:rFonts w:hint="eastAsia" w:ascii="宋体" w:hAnsi="宋体" w:eastAsia="宋体" w:cs="宋体"/>
          <w:bCs/>
          <w:sz w:val="32"/>
          <w:szCs w:val="32"/>
        </w:rPr>
        <w:t>          </w:t>
      </w:r>
    </w:p>
    <w:p>
      <w:pPr>
        <w:spacing w:line="360" w:lineRule="auto"/>
        <w:ind w:firstLine="640" w:firstLineChars="200"/>
        <w:jc w:val="left"/>
        <w:rPr>
          <w:rFonts w:ascii="仿宋" w:hAnsi="仿宋" w:eastAsia="仿宋" w:cs="仿宋_GB2312"/>
          <w:bCs/>
          <w:sz w:val="32"/>
          <w:szCs w:val="32"/>
          <w:highlight w:val="red"/>
        </w:rPr>
      </w:pPr>
    </w:p>
    <w:p>
      <w:pPr>
        <w:spacing w:line="360" w:lineRule="auto"/>
        <w:ind w:firstLine="640" w:firstLineChars="200"/>
        <w:jc w:val="center"/>
        <w:rPr>
          <w:rFonts w:ascii="仿宋" w:hAnsi="仿宋" w:eastAsia="仿宋" w:cs="仿宋_GB2312"/>
          <w:bCs/>
          <w:sz w:val="32"/>
          <w:szCs w:val="32"/>
        </w:rPr>
      </w:pPr>
    </w:p>
    <w:p>
      <w:pPr>
        <w:spacing w:line="360" w:lineRule="auto"/>
        <w:ind w:firstLine="883" w:firstLineChars="200"/>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highlight w:val="none"/>
        </w:rPr>
      </w:pPr>
      <w:r>
        <w:rPr>
          <w:rFonts w:hint="eastAsia" w:ascii="黑体" w:hAnsi="黑体" w:eastAsia="黑体" w:cs="仿宋_GB2312"/>
          <w:b/>
          <w:bCs/>
          <w:sz w:val="44"/>
          <w:szCs w:val="44"/>
          <w:highlight w:val="none"/>
        </w:rPr>
        <w:t>财政决算相关说明及名词解释</w:t>
      </w:r>
    </w:p>
    <w:p>
      <w:pPr>
        <w:spacing w:line="360" w:lineRule="auto"/>
        <w:rPr>
          <w:rFonts w:ascii="仿宋_GB2312" w:hAnsi="仿宋_GB2312" w:cs="仿宋_GB2312"/>
          <w:b/>
          <w:bCs/>
          <w:sz w:val="32"/>
          <w:szCs w:val="32"/>
          <w:highlight w:val="none"/>
        </w:rPr>
      </w:pPr>
    </w:p>
    <w:p>
      <w:pPr>
        <w:spacing w:line="520" w:lineRule="exact"/>
        <w:ind w:firstLine="630" w:firstLineChars="196"/>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一、财政转移支付情况</w:t>
      </w:r>
    </w:p>
    <w:p>
      <w:pPr>
        <w:spacing w:line="520" w:lineRule="exact"/>
        <w:ind w:firstLine="627" w:firstLineChars="196"/>
        <w:rPr>
          <w:rFonts w:ascii="仿宋_GB2312" w:hAnsi="仿宋_GB2312" w:cs="仿宋_GB2312"/>
          <w:bCs/>
          <w:sz w:val="32"/>
          <w:szCs w:val="32"/>
          <w:highlight w:val="none"/>
        </w:rPr>
      </w:pPr>
      <w:r>
        <w:rPr>
          <w:rFonts w:hint="eastAsia" w:ascii="仿宋_GB2312" w:hAnsi="仿宋_GB2312" w:cs="仿宋_GB2312"/>
          <w:bCs/>
          <w:sz w:val="32"/>
          <w:szCs w:val="32"/>
          <w:highlight w:val="none"/>
        </w:rPr>
        <w:t>根据现行财政体制，结合我市乡镇财力实际情况，我市对乡镇（街道）税收返还和转移支付执行情况如下：</w:t>
      </w:r>
    </w:p>
    <w:tbl>
      <w:tblPr>
        <w:tblStyle w:val="11"/>
        <w:tblW w:w="8959" w:type="dxa"/>
        <w:jc w:val="center"/>
        <w:tblInd w:w="0" w:type="dxa"/>
        <w:tblLayout w:type="fixed"/>
        <w:tblCellMar>
          <w:top w:w="0" w:type="dxa"/>
          <w:left w:w="0" w:type="dxa"/>
          <w:bottom w:w="0" w:type="dxa"/>
          <w:right w:w="0" w:type="dxa"/>
        </w:tblCellMar>
      </w:tblPr>
      <w:tblGrid>
        <w:gridCol w:w="2331"/>
        <w:gridCol w:w="2398"/>
        <w:gridCol w:w="1540"/>
        <w:gridCol w:w="1540"/>
        <w:gridCol w:w="1150"/>
      </w:tblGrid>
      <w:tr>
        <w:tblPrEx>
          <w:tblLayout w:type="fixed"/>
          <w:tblCellMar>
            <w:top w:w="0" w:type="dxa"/>
            <w:left w:w="0" w:type="dxa"/>
            <w:bottom w:w="0" w:type="dxa"/>
            <w:right w:w="0" w:type="dxa"/>
          </w:tblCellMar>
        </w:tblPrEx>
        <w:trPr>
          <w:trHeight w:val="1005" w:hRule="atLeast"/>
          <w:jc w:val="center"/>
        </w:trPr>
        <w:tc>
          <w:tcPr>
            <w:tcW w:w="8959" w:type="dxa"/>
            <w:gridSpan w:val="5"/>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eastAsia="宋体" w:cs="宋体"/>
                <w:b/>
                <w:kern w:val="0"/>
                <w:sz w:val="36"/>
                <w:szCs w:val="36"/>
                <w:highlight w:val="none"/>
              </w:rPr>
            </w:pPr>
            <w:r>
              <w:rPr>
                <w:rFonts w:hint="eastAsia" w:ascii="宋体" w:hAnsi="宋体" w:eastAsia="宋体" w:cs="宋体"/>
                <w:b/>
                <w:kern w:val="0"/>
                <w:sz w:val="36"/>
                <w:szCs w:val="36"/>
                <w:highlight w:val="none"/>
              </w:rPr>
              <w:t>建德市2019年市对乡镇（街道）税收返还</w:t>
            </w:r>
          </w:p>
          <w:p>
            <w:pPr>
              <w:widowControl/>
              <w:jc w:val="center"/>
              <w:textAlignment w:val="center"/>
              <w:rPr>
                <w:rFonts w:ascii="宋体" w:hAnsi="宋体" w:eastAsia="宋体" w:cs="宋体"/>
                <w:b/>
                <w:sz w:val="36"/>
                <w:szCs w:val="36"/>
                <w:highlight w:val="none"/>
              </w:rPr>
            </w:pPr>
            <w:r>
              <w:rPr>
                <w:rFonts w:hint="eastAsia" w:ascii="宋体" w:hAnsi="宋体" w:eastAsia="宋体" w:cs="宋体"/>
                <w:b/>
                <w:kern w:val="0"/>
                <w:sz w:val="36"/>
                <w:szCs w:val="36"/>
                <w:highlight w:val="none"/>
              </w:rPr>
              <w:t>和转移支付情况表</w:t>
            </w:r>
          </w:p>
        </w:tc>
      </w:tr>
      <w:tr>
        <w:tblPrEx>
          <w:tblLayout w:type="fixed"/>
          <w:tblCellMar>
            <w:top w:w="0" w:type="dxa"/>
            <w:left w:w="0" w:type="dxa"/>
            <w:bottom w:w="0" w:type="dxa"/>
            <w:right w:w="0" w:type="dxa"/>
          </w:tblCellMar>
        </w:tblPrEx>
        <w:trPr>
          <w:trHeight w:val="285" w:hRule="atLeast"/>
          <w:jc w:val="center"/>
        </w:trPr>
        <w:tc>
          <w:tcPr>
            <w:tcW w:w="2331" w:type="dxa"/>
            <w:tcBorders>
              <w:top w:val="nil"/>
              <w:left w:val="nil"/>
              <w:bottom w:val="nil"/>
              <w:right w:val="nil"/>
            </w:tcBorders>
            <w:tcMar>
              <w:top w:w="15" w:type="dxa"/>
              <w:left w:w="15" w:type="dxa"/>
              <w:right w:w="15" w:type="dxa"/>
            </w:tcMar>
            <w:vAlign w:val="center"/>
          </w:tcPr>
          <w:p>
            <w:pPr>
              <w:rPr>
                <w:rFonts w:ascii="宋体" w:hAnsi="宋体" w:eastAsia="宋体" w:cs="宋体"/>
                <w:sz w:val="24"/>
                <w:highlight w:val="none"/>
              </w:rPr>
            </w:pPr>
          </w:p>
        </w:tc>
        <w:tc>
          <w:tcPr>
            <w:tcW w:w="2398" w:type="dxa"/>
            <w:tcBorders>
              <w:top w:val="nil"/>
              <w:left w:val="nil"/>
              <w:bottom w:val="nil"/>
              <w:right w:val="nil"/>
            </w:tcBorders>
            <w:tcMar>
              <w:top w:w="15" w:type="dxa"/>
              <w:left w:w="15" w:type="dxa"/>
              <w:right w:w="15" w:type="dxa"/>
            </w:tcMar>
            <w:vAlign w:val="center"/>
          </w:tcPr>
          <w:p>
            <w:pPr>
              <w:rPr>
                <w:rFonts w:ascii="宋体" w:hAnsi="宋体" w:eastAsia="宋体" w:cs="宋体"/>
                <w:sz w:val="24"/>
                <w:highlight w:val="none"/>
              </w:rPr>
            </w:pPr>
          </w:p>
        </w:tc>
        <w:tc>
          <w:tcPr>
            <w:tcW w:w="1540" w:type="dxa"/>
            <w:tcBorders>
              <w:top w:val="nil"/>
              <w:left w:val="nil"/>
              <w:bottom w:val="nil"/>
              <w:right w:val="nil"/>
            </w:tcBorders>
            <w:tcMar>
              <w:top w:w="15" w:type="dxa"/>
              <w:left w:w="15" w:type="dxa"/>
              <w:right w:w="15" w:type="dxa"/>
            </w:tcMar>
            <w:vAlign w:val="center"/>
          </w:tcPr>
          <w:p>
            <w:pPr>
              <w:rPr>
                <w:rFonts w:ascii="宋体" w:hAnsi="宋体" w:eastAsia="宋体" w:cs="宋体"/>
                <w:sz w:val="24"/>
                <w:highlight w:val="none"/>
              </w:rPr>
            </w:pPr>
          </w:p>
        </w:tc>
        <w:tc>
          <w:tcPr>
            <w:tcW w:w="1540"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eastAsia="宋体" w:cs="宋体"/>
                <w:sz w:val="24"/>
                <w:highlight w:val="none"/>
              </w:rPr>
            </w:pPr>
            <w:r>
              <w:rPr>
                <w:rFonts w:hint="eastAsia" w:ascii="宋体" w:hAnsi="宋体" w:eastAsia="宋体" w:cs="宋体"/>
                <w:kern w:val="0"/>
                <w:sz w:val="24"/>
                <w:highlight w:val="none"/>
              </w:rPr>
              <w:t>金额：</w:t>
            </w:r>
          </w:p>
        </w:tc>
        <w:tc>
          <w:tcPr>
            <w:tcW w:w="1150"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sz w:val="24"/>
                <w:highlight w:val="none"/>
              </w:rPr>
            </w:pPr>
            <w:r>
              <w:rPr>
                <w:rFonts w:hint="eastAsia" w:ascii="宋体" w:hAnsi="宋体" w:eastAsia="宋体" w:cs="宋体"/>
                <w:kern w:val="0"/>
                <w:sz w:val="24"/>
                <w:highlight w:val="none"/>
              </w:rPr>
              <w:t>万元</w:t>
            </w:r>
          </w:p>
        </w:tc>
      </w:tr>
      <w:tr>
        <w:tblPrEx>
          <w:tblLayout w:type="fixed"/>
          <w:tblCellMar>
            <w:top w:w="0" w:type="dxa"/>
            <w:left w:w="0" w:type="dxa"/>
            <w:bottom w:w="0" w:type="dxa"/>
            <w:right w:w="0" w:type="dxa"/>
          </w:tblCellMar>
        </w:tblPrEx>
        <w:trPr>
          <w:trHeight w:val="285" w:hRule="atLeast"/>
          <w:jc w:val="center"/>
        </w:trPr>
        <w:tc>
          <w:tcPr>
            <w:tcW w:w="8959" w:type="dxa"/>
            <w:gridSpan w:val="5"/>
            <w:tcBorders>
              <w:top w:val="nil"/>
              <w:left w:val="nil"/>
              <w:bottom w:val="nil"/>
              <w:right w:val="nil"/>
            </w:tcBorders>
            <w:tcMar>
              <w:top w:w="15" w:type="dxa"/>
              <w:left w:w="15" w:type="dxa"/>
              <w:right w:w="15" w:type="dxa"/>
            </w:tcMar>
            <w:vAlign w:val="bottom"/>
          </w:tcPr>
          <w:tbl>
            <w:tblPr>
              <w:tblStyle w:val="11"/>
              <w:tblW w:w="8760" w:type="dxa"/>
              <w:tblInd w:w="0" w:type="dxa"/>
              <w:tblLayout w:type="fixed"/>
              <w:tblCellMar>
                <w:top w:w="0" w:type="dxa"/>
                <w:left w:w="108" w:type="dxa"/>
                <w:bottom w:w="0" w:type="dxa"/>
                <w:right w:w="108" w:type="dxa"/>
              </w:tblCellMar>
            </w:tblPr>
            <w:tblGrid>
              <w:gridCol w:w="2440"/>
              <w:gridCol w:w="1580"/>
              <w:gridCol w:w="1580"/>
              <w:gridCol w:w="1580"/>
              <w:gridCol w:w="1580"/>
            </w:tblGrid>
            <w:tr>
              <w:tblPrEx>
                <w:tblLayout w:type="fixed"/>
                <w:tblCellMar>
                  <w:top w:w="0" w:type="dxa"/>
                  <w:left w:w="108" w:type="dxa"/>
                  <w:bottom w:w="0" w:type="dxa"/>
                  <w:right w:w="108" w:type="dxa"/>
                </w:tblCellMar>
              </w:tblPrEx>
              <w:trPr>
                <w:trHeight w:val="375" w:hRule="atLeast"/>
              </w:trPr>
              <w:tc>
                <w:tcPr>
                  <w:tcW w:w="2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乡镇、街道名称</w:t>
                  </w:r>
                </w:p>
              </w:tc>
              <w:tc>
                <w:tcPr>
                  <w:tcW w:w="6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2019年决算数</w:t>
                  </w:r>
                </w:p>
              </w:tc>
            </w:tr>
            <w:tr>
              <w:tblPrEx>
                <w:tblLayout w:type="fixed"/>
                <w:tblCellMar>
                  <w:top w:w="0" w:type="dxa"/>
                  <w:left w:w="108" w:type="dxa"/>
                  <w:bottom w:w="0" w:type="dxa"/>
                  <w:right w:w="108" w:type="dxa"/>
                </w:tblCellMar>
              </w:tblPrEx>
              <w:trPr>
                <w:trHeight w:val="750" w:hRule="atLeast"/>
              </w:trPr>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Cs w:val="28"/>
                      <w:highlight w:val="none"/>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税收返还</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一般性转移支付</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专项转移支付</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合计</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Cs w:val="28"/>
                      <w:highlight w:val="none"/>
                    </w:rPr>
                  </w:pPr>
                  <w:r>
                    <w:rPr>
                      <w:rFonts w:hint="eastAsia" w:ascii="仿宋_GB2312" w:hAnsi="宋体" w:cs="宋体"/>
                      <w:kern w:val="0"/>
                      <w:szCs w:val="28"/>
                      <w:highlight w:val="none"/>
                    </w:rPr>
                    <w:t>合计</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50276</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26473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76749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新安江街道</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4110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1009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5119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更楼街道</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4082</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889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4971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洋溪街道</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3081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552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3633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莲 花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523</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719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1242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寿 昌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9532</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3215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12747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航 头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461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2871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3332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大慈岩镇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1048</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1364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2412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大 同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3449</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2897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6346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李 家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2971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544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3515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乾 潭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5839</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5972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11811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钦 堂 乡</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2132</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711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2843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梅 城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4650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1122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5772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杨村桥镇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1630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1338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2968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下 涯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4348</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1008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5356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大 洋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1147</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1149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2296 </w:t>
                  </w:r>
                </w:p>
              </w:tc>
            </w:tr>
            <w:tr>
              <w:tblPrEx>
                <w:tblLayout w:type="fixed"/>
                <w:tblCellMar>
                  <w:top w:w="0" w:type="dxa"/>
                  <w:left w:w="108" w:type="dxa"/>
                  <w:bottom w:w="0" w:type="dxa"/>
                  <w:right w:w="108" w:type="dxa"/>
                </w:tblCellMar>
              </w:tblPrEx>
              <w:trPr>
                <w:trHeight w:val="375" w:hRule="atLeast"/>
              </w:trPr>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三 都 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Cs w:val="28"/>
                      <w:highlight w:val="none"/>
                    </w:rPr>
                  </w:pPr>
                  <w:r>
                    <w:rPr>
                      <w:rFonts w:hint="eastAsia" w:ascii="仿宋_GB2312" w:hAnsi="宋体" w:cs="宋体"/>
                      <w:kern w:val="0"/>
                      <w:szCs w:val="28"/>
                      <w:highlight w:val="none"/>
                    </w:rPr>
                    <w:t>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1273</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1111 </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cs="宋体"/>
                      <w:kern w:val="0"/>
                      <w:szCs w:val="28"/>
                      <w:highlight w:val="none"/>
                    </w:rPr>
                  </w:pPr>
                  <w:r>
                    <w:rPr>
                      <w:rFonts w:hint="eastAsia" w:ascii="仿宋_GB2312" w:hAnsi="宋体" w:cs="宋体"/>
                      <w:kern w:val="0"/>
                      <w:szCs w:val="28"/>
                      <w:highlight w:val="none"/>
                    </w:rPr>
                    <w:t xml:space="preserve">2384 </w:t>
                  </w:r>
                </w:p>
              </w:tc>
            </w:tr>
          </w:tbl>
          <w:p>
            <w:pPr>
              <w:widowControl/>
              <w:jc w:val="left"/>
              <w:textAlignment w:val="bottom"/>
              <w:rPr>
                <w:rFonts w:ascii="仿宋_GB2312" w:hAnsi="仿宋_GB2312" w:cs="仿宋_GB2312"/>
                <w:bCs/>
                <w:sz w:val="32"/>
                <w:szCs w:val="32"/>
                <w:highlight w:val="none"/>
              </w:rPr>
            </w:pPr>
            <w:r>
              <w:rPr>
                <w:rFonts w:hint="eastAsia" w:ascii="仿宋_GB2312" w:hAnsi="仿宋_GB2312" w:cs="仿宋_GB2312"/>
                <w:bCs/>
                <w:sz w:val="32"/>
                <w:szCs w:val="32"/>
                <w:highlight w:val="none"/>
              </w:rPr>
              <w:t>注：按我市现行乡镇财政体制，市对乡镇（街道）没有税收返还。</w:t>
            </w:r>
          </w:p>
        </w:tc>
      </w:tr>
    </w:tbl>
    <w:p>
      <w:pPr>
        <w:numPr>
          <w:ilvl w:val="0"/>
          <w:numId w:val="3"/>
        </w:numPr>
        <w:spacing w:line="520" w:lineRule="exact"/>
        <w:ind w:firstLine="627" w:firstLineChars="196"/>
        <w:rPr>
          <w:rFonts w:ascii="仿宋_GB2312" w:hAnsi="仿宋_GB2312" w:cs="仿宋_GB2312"/>
          <w:bCs/>
          <w:sz w:val="32"/>
          <w:szCs w:val="32"/>
          <w:highlight w:val="none"/>
        </w:rPr>
      </w:pPr>
      <w:r>
        <w:rPr>
          <w:rFonts w:hint="eastAsia" w:ascii="仿宋_GB2312" w:hAnsi="仿宋_GB2312" w:cs="仿宋_GB2312"/>
          <w:bCs/>
          <w:sz w:val="32"/>
          <w:szCs w:val="32"/>
          <w:highlight w:val="none"/>
        </w:rPr>
        <w:t>一般性转移支付主要包括：乡镇街道政府运转经费15432万元；已纳入体制结算的23个项目村级运转项目经费5647万元；剩余29197万元为体制结算资金。</w:t>
      </w:r>
    </w:p>
    <w:p>
      <w:pPr>
        <w:numPr>
          <w:ilvl w:val="0"/>
          <w:numId w:val="3"/>
        </w:numPr>
        <w:spacing w:line="520" w:lineRule="exact"/>
        <w:ind w:firstLine="627"/>
        <w:rPr>
          <w:rFonts w:ascii="仿宋_GB2312" w:hAnsi="仿宋_GB2312" w:cs="仿宋_GB2312"/>
          <w:bCs/>
          <w:sz w:val="32"/>
          <w:szCs w:val="32"/>
          <w:highlight w:val="none"/>
        </w:rPr>
      </w:pPr>
      <w:r>
        <w:rPr>
          <w:rFonts w:hint="eastAsia" w:ascii="仿宋_GB2312" w:hAnsi="仿宋_GB2312" w:cs="仿宋_GB2312"/>
          <w:bCs/>
          <w:sz w:val="32"/>
          <w:szCs w:val="32"/>
          <w:highlight w:val="none"/>
        </w:rPr>
        <w:t>专项转移支付主要包括：中央水利发展资金2320万元，小城市培育试点专项资金2500万元、省级特色农业强镇补助资金500万元，一事一议财政奖补资金1040万元，中央重点生态保护修复治理专项资金农村河道综合整治工程650万元，耕地保护补偿资金1392万元，第二批“一事一议”财政奖补项目及资金956万元，枯死松树除治项目剩余补助资金571万元，农村文化礼堂建设项目第一批补助资金606万元，省小城市培育试点专项资金和省中心镇培育专项资金615万元，2019年建德市高标准农田建设中央农田建设补助资金2763万元等项目支出。分乡镇分项目明细见附表。</w:t>
      </w:r>
    </w:p>
    <w:p>
      <w:pPr>
        <w:spacing w:line="520" w:lineRule="exact"/>
        <w:ind w:firstLine="643" w:firstLineChars="200"/>
        <w:rPr>
          <w:rFonts w:ascii="楷体_GB2312" w:hAnsi="仿宋_GB2312" w:eastAsia="楷体_GB2312" w:cs="仿宋_GB2312"/>
          <w:b/>
          <w:bCs/>
          <w:sz w:val="32"/>
          <w:szCs w:val="32"/>
          <w:highlight w:val="none"/>
        </w:rPr>
      </w:pPr>
    </w:p>
    <w:p>
      <w:pPr>
        <w:spacing w:line="520" w:lineRule="exact"/>
        <w:ind w:firstLine="643" w:firstLineChars="200"/>
        <w:rPr>
          <w:rFonts w:ascii="楷体_GB2312" w:hAnsi="仿宋_GB2312" w:eastAsia="楷体_GB2312" w:cs="仿宋_GB2312"/>
          <w:b/>
          <w:bCs/>
          <w:sz w:val="32"/>
          <w:szCs w:val="32"/>
          <w:highlight w:val="none"/>
        </w:rPr>
      </w:pPr>
    </w:p>
    <w:p>
      <w:pPr>
        <w:spacing w:line="520" w:lineRule="exact"/>
        <w:ind w:firstLine="643" w:firstLineChars="200"/>
        <w:rPr>
          <w:rFonts w:ascii="楷体_GB2312" w:hAnsi="仿宋_GB2312" w:eastAsia="楷体_GB2312" w:cs="仿宋_GB2312"/>
          <w:b/>
          <w:bCs/>
          <w:sz w:val="32"/>
          <w:szCs w:val="32"/>
          <w:highlight w:val="none"/>
        </w:rPr>
      </w:pPr>
    </w:p>
    <w:p>
      <w:pPr>
        <w:spacing w:line="520" w:lineRule="exact"/>
        <w:ind w:firstLine="643" w:firstLineChars="200"/>
        <w:rPr>
          <w:rFonts w:ascii="楷体_GB2312" w:hAnsi="仿宋_GB2312" w:eastAsia="楷体_GB2312" w:cs="仿宋_GB2312"/>
          <w:b/>
          <w:bCs/>
          <w:sz w:val="32"/>
          <w:szCs w:val="32"/>
          <w:highlight w:val="none"/>
        </w:rPr>
      </w:pPr>
    </w:p>
    <w:p>
      <w:pPr>
        <w:pStyle w:val="2"/>
        <w:rPr>
          <w:rFonts w:hint="default"/>
          <w:highlight w:val="none"/>
        </w:rPr>
      </w:pPr>
    </w:p>
    <w:p>
      <w:pPr>
        <w:spacing w:line="520" w:lineRule="exact"/>
        <w:ind w:firstLine="643" w:firstLineChars="200"/>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二、重大投资项目情况</w:t>
      </w:r>
    </w:p>
    <w:p>
      <w:pPr>
        <w:spacing w:line="520" w:lineRule="exact"/>
        <w:ind w:firstLine="640" w:firstLineChars="200"/>
        <w:rPr>
          <w:rFonts w:ascii="仿宋_GB2312" w:hAnsi="仿宋_GB2312" w:cs="仿宋_GB2312"/>
          <w:sz w:val="32"/>
          <w:szCs w:val="32"/>
          <w:highlight w:val="none"/>
        </w:rPr>
      </w:pPr>
      <w:r>
        <w:rPr>
          <w:rFonts w:ascii="仿宋_GB2312" w:hAnsi="仿宋_GB2312" w:cs="仿宋_GB2312"/>
          <w:sz w:val="32"/>
          <w:szCs w:val="32"/>
          <w:highlight w:val="none"/>
        </w:rPr>
        <w:t>201</w:t>
      </w:r>
      <w:r>
        <w:rPr>
          <w:rFonts w:hint="eastAsia" w:ascii="仿宋_GB2312" w:hAnsi="仿宋_GB2312" w:cs="仿宋_GB2312"/>
          <w:sz w:val="32"/>
          <w:szCs w:val="32"/>
          <w:highlight w:val="none"/>
        </w:rPr>
        <w:t>8年市委市政府安排的政府投资项目实际执行情况主要包括：</w:t>
      </w:r>
    </w:p>
    <w:p>
      <w:pPr>
        <w:spacing w:line="520" w:lineRule="exact"/>
        <w:ind w:firstLine="643" w:firstLineChars="200"/>
        <w:rPr>
          <w:rFonts w:ascii="仿宋_GB2312" w:hAnsi="仿宋_GB2312" w:cs="仿宋_GB2312"/>
          <w:bCs/>
          <w:sz w:val="32"/>
          <w:szCs w:val="32"/>
          <w:highlight w:val="none"/>
        </w:rPr>
      </w:pPr>
      <w:r>
        <w:rPr>
          <w:rFonts w:hint="eastAsia" w:ascii="仿宋_GB2312" w:hAnsi="仿宋_GB2312" w:cs="仿宋_GB2312"/>
          <w:b/>
          <w:bCs/>
          <w:sz w:val="32"/>
          <w:szCs w:val="32"/>
          <w:highlight w:val="none"/>
        </w:rPr>
        <w:t>重点项目持续推进。</w:t>
      </w:r>
      <w:r>
        <w:rPr>
          <w:rFonts w:hint="eastAsia" w:ascii="仿宋_GB2312" w:hAnsi="仿宋_GB2312" w:cs="仿宋_GB2312"/>
          <w:sz w:val="32"/>
          <w:szCs w:val="32"/>
          <w:highlight w:val="none"/>
        </w:rPr>
        <w:t>梓源村安置房工程（总投资2.08亿元）、</w:t>
      </w:r>
      <w:r>
        <w:rPr>
          <w:rFonts w:hint="eastAsia" w:ascii="仿宋_GB2312" w:hAnsi="仿宋_GB2312" w:cs="仿宋_GB2312"/>
          <w:bCs/>
          <w:sz w:val="32"/>
          <w:szCs w:val="32"/>
          <w:highlight w:val="none"/>
        </w:rPr>
        <w:t>寿昌镇红狮公寓安置房建设工程（总投资5.3亿元）、洋溪老街棚户区改造安置房工程（总投资1.23亿元）、市二院迁建工程（总投资2.49亿元）、寿昌新城幼儿园（总投资0.34亿元）等一系列重点民生项目开工建设并有序推进中。桐溪大桥工程（总投资3.7亿元）、府前路旧城改造项目（总投资9亿元）等重点项目实现开工建设，千鹤妇女红色教育基地建设工程（总投资0.69亿元）完成主体工程。</w:t>
      </w:r>
    </w:p>
    <w:p>
      <w:pPr>
        <w:spacing w:line="520" w:lineRule="exact"/>
        <w:ind w:firstLine="643" w:firstLineChars="200"/>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三、政府债务情况说明</w:t>
      </w:r>
    </w:p>
    <w:p>
      <w:pPr>
        <w:spacing w:line="520" w:lineRule="exact"/>
        <w:ind w:firstLine="640" w:firstLineChars="200"/>
        <w:rPr>
          <w:rFonts w:hint="eastAsia" w:ascii="仿宋_GB2312" w:hAnsi="仿宋_GB2312" w:cs="仿宋_GB2312"/>
          <w:bCs/>
          <w:sz w:val="32"/>
          <w:szCs w:val="32"/>
          <w:highlight w:val="none"/>
        </w:rPr>
      </w:pPr>
      <w:r>
        <w:rPr>
          <w:rFonts w:hint="eastAsia" w:ascii="仿宋_GB2312" w:hAnsi="仿宋_GB2312" w:cs="仿宋_GB2312"/>
          <w:bCs/>
          <w:sz w:val="32"/>
          <w:szCs w:val="32"/>
          <w:highlight w:val="none"/>
        </w:rPr>
        <w:t>201</w:t>
      </w:r>
      <w:r>
        <w:rPr>
          <w:rFonts w:hint="eastAsia" w:ascii="仿宋_GB2312" w:hAnsi="仿宋_GB2312" w:cs="仿宋_GB2312"/>
          <w:bCs/>
          <w:sz w:val="32"/>
          <w:szCs w:val="32"/>
          <w:highlight w:val="none"/>
          <w:lang w:val="en-US" w:eastAsia="zh-CN"/>
        </w:rPr>
        <w:t>9</w:t>
      </w:r>
      <w:r>
        <w:rPr>
          <w:rFonts w:hint="eastAsia" w:ascii="仿宋_GB2312" w:hAnsi="仿宋_GB2312" w:cs="仿宋_GB2312"/>
          <w:bCs/>
          <w:sz w:val="32"/>
          <w:szCs w:val="32"/>
          <w:highlight w:val="none"/>
        </w:rPr>
        <w:t>年，全市政府债务</w:t>
      </w:r>
      <w:r>
        <w:rPr>
          <w:rFonts w:hint="eastAsia" w:ascii="仿宋_GB2312" w:hAnsi="仿宋_GB2312" w:cs="仿宋_GB2312"/>
          <w:bCs/>
          <w:sz w:val="32"/>
          <w:szCs w:val="32"/>
          <w:highlight w:val="none"/>
          <w:lang w:eastAsia="zh-CN"/>
        </w:rPr>
        <w:t>限</w:t>
      </w:r>
      <w:r>
        <w:rPr>
          <w:rFonts w:hint="eastAsia" w:ascii="仿宋_GB2312" w:hAnsi="仿宋_GB2312" w:cs="仿宋_GB2312"/>
          <w:bCs/>
          <w:sz w:val="32"/>
          <w:szCs w:val="32"/>
          <w:highlight w:val="none"/>
        </w:rPr>
        <w:t>额</w:t>
      </w:r>
      <w:r>
        <w:rPr>
          <w:rFonts w:hint="eastAsia" w:ascii="仿宋_GB2312" w:hAnsi="仿宋_GB2312" w:cs="仿宋_GB2312"/>
          <w:bCs/>
          <w:sz w:val="32"/>
          <w:szCs w:val="32"/>
          <w:highlight w:val="none"/>
          <w:lang w:val="en-US" w:eastAsia="zh-CN"/>
        </w:rPr>
        <w:t>902500</w:t>
      </w:r>
      <w:r>
        <w:rPr>
          <w:rFonts w:hint="eastAsia" w:ascii="仿宋_GB2312" w:hAnsi="仿宋_GB2312" w:cs="仿宋_GB2312"/>
          <w:bCs/>
          <w:sz w:val="32"/>
          <w:szCs w:val="32"/>
          <w:highlight w:val="none"/>
        </w:rPr>
        <w:t>万元</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其中</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一般债务</w:t>
      </w:r>
      <w:r>
        <w:rPr>
          <w:rFonts w:hint="eastAsia" w:ascii="仿宋_GB2312" w:hAnsi="仿宋_GB2312" w:cs="仿宋_GB2312"/>
          <w:bCs/>
          <w:sz w:val="32"/>
          <w:szCs w:val="32"/>
          <w:highlight w:val="none"/>
          <w:lang w:eastAsia="zh-CN"/>
        </w:rPr>
        <w:t>限</w:t>
      </w:r>
      <w:r>
        <w:rPr>
          <w:rFonts w:hint="eastAsia" w:ascii="仿宋_GB2312" w:hAnsi="仿宋_GB2312" w:cs="仿宋_GB2312"/>
          <w:bCs/>
          <w:sz w:val="32"/>
          <w:szCs w:val="32"/>
          <w:highlight w:val="none"/>
        </w:rPr>
        <w:t>额63</w:t>
      </w:r>
      <w:r>
        <w:rPr>
          <w:rFonts w:hint="eastAsia" w:ascii="仿宋_GB2312" w:hAnsi="仿宋_GB2312" w:cs="仿宋_GB2312"/>
          <w:bCs/>
          <w:sz w:val="32"/>
          <w:szCs w:val="32"/>
          <w:highlight w:val="none"/>
          <w:lang w:val="en-US" w:eastAsia="zh-CN"/>
        </w:rPr>
        <w:t>5600</w:t>
      </w:r>
      <w:r>
        <w:rPr>
          <w:rFonts w:hint="eastAsia" w:ascii="仿宋_GB2312" w:hAnsi="仿宋_GB2312" w:cs="仿宋_GB2312"/>
          <w:bCs/>
          <w:sz w:val="32"/>
          <w:szCs w:val="32"/>
          <w:highlight w:val="none"/>
        </w:rPr>
        <w:t>万元，专项债务</w:t>
      </w:r>
      <w:r>
        <w:rPr>
          <w:rFonts w:hint="eastAsia" w:ascii="仿宋_GB2312" w:hAnsi="仿宋_GB2312" w:cs="仿宋_GB2312"/>
          <w:bCs/>
          <w:sz w:val="32"/>
          <w:szCs w:val="32"/>
          <w:highlight w:val="none"/>
          <w:lang w:eastAsia="zh-CN"/>
        </w:rPr>
        <w:t>限</w:t>
      </w:r>
      <w:r>
        <w:rPr>
          <w:rFonts w:hint="eastAsia" w:ascii="仿宋_GB2312" w:hAnsi="仿宋_GB2312" w:cs="仿宋_GB2312"/>
          <w:bCs/>
          <w:sz w:val="32"/>
          <w:szCs w:val="32"/>
          <w:highlight w:val="none"/>
        </w:rPr>
        <w:t>额</w:t>
      </w:r>
      <w:r>
        <w:rPr>
          <w:rFonts w:hint="eastAsia" w:ascii="仿宋_GB2312" w:hAnsi="仿宋_GB2312" w:cs="仿宋_GB2312"/>
          <w:bCs/>
          <w:sz w:val="32"/>
          <w:szCs w:val="32"/>
          <w:highlight w:val="none"/>
          <w:lang w:val="en-US" w:eastAsia="zh-CN"/>
        </w:rPr>
        <w:t>266900</w:t>
      </w:r>
      <w:r>
        <w:rPr>
          <w:rFonts w:hint="eastAsia" w:ascii="仿宋_GB2312" w:hAnsi="仿宋_GB2312" w:cs="仿宋_GB2312"/>
          <w:bCs/>
          <w:sz w:val="32"/>
          <w:szCs w:val="32"/>
          <w:highlight w:val="none"/>
        </w:rPr>
        <w:t>万元</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全市政府债务余额900920万元</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其中</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一般债务余额634592万元，专项债务余额266328万元</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债务余额未超过当年债务限额</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lang w:val="en-US" w:eastAsia="zh-CN"/>
        </w:rPr>
        <w:t>2019年新增政府债券298000万元，其中：新增再融资债券198000万元，用于偿还到期债券本金；新增专项债券100000万元，用于2019年土地储备项目（更楼南方水泥地块、洋安天石湾地块、</w:t>
      </w:r>
      <w:r>
        <w:rPr>
          <w:rFonts w:hint="eastAsia" w:ascii="仿宋_GB2312" w:hAnsi="仿宋_GB2312" w:cs="仿宋_GB2312"/>
          <w:bCs/>
          <w:sz w:val="32"/>
          <w:szCs w:val="32"/>
          <w:highlight w:val="none"/>
        </w:rPr>
        <w:t>小洋坞地块</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lang w:val="en-US" w:eastAsia="zh-CN"/>
        </w:rPr>
        <w:t>。</w:t>
      </w:r>
      <w:r>
        <w:rPr>
          <w:rFonts w:hint="eastAsia" w:ascii="仿宋_GB2312" w:hAnsi="仿宋_GB2312" w:cs="仿宋_GB2312"/>
          <w:bCs/>
          <w:sz w:val="32"/>
          <w:szCs w:val="32"/>
          <w:highlight w:val="none"/>
        </w:rPr>
        <w:t>2019年地方政府债券还本付息</w:t>
      </w:r>
      <w:r>
        <w:rPr>
          <w:rFonts w:hint="eastAsia" w:ascii="仿宋_GB2312" w:hAnsi="仿宋_GB2312" w:cs="仿宋_GB2312"/>
          <w:bCs/>
          <w:sz w:val="32"/>
          <w:szCs w:val="32"/>
          <w:highlight w:val="none"/>
          <w:lang w:val="en-US" w:eastAsia="zh-CN"/>
        </w:rPr>
        <w:t>226143</w:t>
      </w:r>
      <w:r>
        <w:rPr>
          <w:rFonts w:hint="eastAsia" w:ascii="仿宋_GB2312" w:hAnsi="仿宋_GB2312" w:cs="仿宋_GB2312"/>
          <w:bCs/>
          <w:sz w:val="32"/>
          <w:szCs w:val="32"/>
          <w:highlight w:val="none"/>
        </w:rPr>
        <w:t>万元，其中偿还债券本金19</w:t>
      </w:r>
      <w:r>
        <w:rPr>
          <w:rFonts w:hint="eastAsia" w:ascii="仿宋_GB2312" w:hAnsi="仿宋_GB2312" w:cs="仿宋_GB2312"/>
          <w:bCs/>
          <w:sz w:val="32"/>
          <w:szCs w:val="32"/>
          <w:highlight w:val="none"/>
          <w:lang w:val="en-US" w:eastAsia="zh-CN"/>
        </w:rPr>
        <w:t>9534</w:t>
      </w:r>
      <w:r>
        <w:rPr>
          <w:rFonts w:hint="eastAsia" w:ascii="仿宋_GB2312" w:hAnsi="仿宋_GB2312" w:cs="仿宋_GB2312"/>
          <w:bCs/>
          <w:sz w:val="32"/>
          <w:szCs w:val="32"/>
          <w:highlight w:val="none"/>
        </w:rPr>
        <w:t>万元、债券利息26609万元</w:t>
      </w:r>
      <w:r>
        <w:rPr>
          <w:rFonts w:hint="eastAsia" w:ascii="仿宋_GB2312" w:hAnsi="仿宋_GB2312" w:cs="仿宋_GB2312"/>
          <w:bCs/>
          <w:sz w:val="32"/>
          <w:szCs w:val="32"/>
          <w:highlight w:val="none"/>
          <w:lang w:eastAsia="zh-CN"/>
        </w:rPr>
        <w:t>。全</w:t>
      </w:r>
      <w:r>
        <w:rPr>
          <w:rFonts w:hint="eastAsia" w:ascii="仿宋_GB2312" w:hAnsi="仿宋_GB2312" w:cs="仿宋_GB2312"/>
          <w:bCs/>
          <w:sz w:val="32"/>
          <w:szCs w:val="32"/>
          <w:highlight w:val="none"/>
        </w:rPr>
        <w:t>市地方政府综合债务率为41.9%，较上年的58.7%有明显下降。</w:t>
      </w:r>
    </w:p>
    <w:p>
      <w:pPr>
        <w:spacing w:line="520" w:lineRule="exact"/>
        <w:ind w:firstLine="640" w:firstLineChars="200"/>
        <w:rPr>
          <w:rFonts w:hint="eastAsia" w:ascii="仿宋_GB2312" w:hAnsi="仿宋_GB2312" w:cs="仿宋_GB2312"/>
          <w:bCs/>
          <w:sz w:val="32"/>
          <w:szCs w:val="32"/>
          <w:highlight w:val="none"/>
          <w:lang w:val="en-US" w:eastAsia="zh-CN"/>
        </w:rPr>
      </w:pPr>
      <w:r>
        <w:rPr>
          <w:rFonts w:hint="eastAsia" w:ascii="仿宋_GB2312" w:hAnsi="仿宋_GB2312" w:cs="仿宋_GB2312"/>
          <w:bCs/>
          <w:sz w:val="32"/>
          <w:szCs w:val="32"/>
          <w:highlight w:val="none"/>
        </w:rPr>
        <w:t>同时坚持标本兼治，创新投融资机制，稳步优化债务结构，积极防范化解地方政府债务风险。合理控制地方政府债务率，既使债务风险处于绿色安全区，又充分利用好债券额度，积极争取发行再融资及新增专项债券额度，支持公益项目建设，缓解财政压力。严格执行债务限额管理、预算管理、风险预警管理和债务公开等相关债务管理制度，构建完善政府性债务风险防控机制。</w:t>
      </w:r>
    </w:p>
    <w:p>
      <w:pPr>
        <w:spacing w:line="52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四、名词解释</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1.财政拨款收入：指财政部门当年拨付的资金。</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2.其他收入：指除上述“财政拨款收入”、“事业收入”、“经营收入”等以外的收入。</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3.年初结转和结余：指以前年度尚未完成、结转到本年 按有关规定继续使用的资金。</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4.年末结转和结余：指本年度或以前年度预算安排、因客观条件发生变化无法按原计划实施，需要延迟到以后年度按有关规定继续使用的资金。</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5.基本支出：指为保障机构正常运转、完成日常工作任务而发生的人员支出和公用支出。</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6.项目支出：指在基本支出之外为完成特定行政任务和事业发展目标所发生的支出。</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7.“三公”经费：纳入财政预决算管理的“三公”经费，是指各部门用财政拨款安排的因公出国（境）费、公务用车购置及运行费和公务接待费。</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9.一般公共预算:是指是对以税收为主体的财政收入，安排用于保障和改善民生、推动经济社会发展、维护国家安全、维持国家机构正常运转等方面的收支预算。</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10.政府性基金预算:是指国家对依照法律、行政法规的规定在一定期限内向特定对象征收、收取或者以出让土地、发行彩票等其他方式筹集的资金，专项用于特定公共事业发展的收支预算。</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11.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12.政府采购:是指各级国家机关、事业单位和团体组织，使用财政性资金采购依法制定的集中采购目录以内的或者采购限额标准以上的货物、工程和服务的行为。</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13.预算绩效管理: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p>
      <w:pPr>
        <w:tabs>
          <w:tab w:val="left" w:pos="5871"/>
        </w:tabs>
        <w:jc w:val="left"/>
        <w:rPr>
          <w:rFonts w:ascii="宋体" w:hAnsi="宋体" w:eastAsia="宋体" w:cs="宋体"/>
          <w:b/>
          <w:color w:val="000000"/>
          <w:kern w:val="0"/>
          <w:sz w:val="36"/>
          <w:szCs w:val="36"/>
        </w:rPr>
      </w:pPr>
    </w:p>
    <w:p>
      <w:pPr>
        <w:tabs>
          <w:tab w:val="left" w:pos="5871"/>
        </w:tabs>
        <w:jc w:val="left"/>
        <w:rPr>
          <w:rFonts w:ascii="宋体" w:hAnsi="宋体" w:eastAsia="宋体" w:cs="宋体"/>
          <w:b/>
          <w:color w:val="000000"/>
          <w:kern w:val="0"/>
          <w:sz w:val="36"/>
          <w:szCs w:val="36"/>
        </w:rPr>
      </w:pPr>
    </w:p>
    <w:p/>
    <w:p/>
    <w:p/>
    <w:p/>
    <w:p>
      <w:pPr>
        <w:tabs>
          <w:tab w:val="left" w:pos="3016"/>
        </w:tabs>
        <w:jc w:val="left"/>
        <w:rPr>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700500"/>
    </w:sdtPr>
    <w:sdtContent>
      <w:p>
        <w:pPr>
          <w:pStyle w:val="4"/>
          <w:jc w:val="center"/>
        </w:pPr>
        <w:r>
          <w:fldChar w:fldCharType="begin"/>
        </w:r>
        <w:r>
          <w:instrText xml:space="preserve">PAGE   \* MERGEFORMAT</w:instrText>
        </w:r>
        <w:r>
          <w:fldChar w:fldCharType="separate"/>
        </w:r>
        <w:r>
          <w:rPr>
            <w:lang w:val="zh-CN"/>
          </w:rPr>
          <w:t>69</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footnoteRef/>
      </w:r>
      <w:r>
        <w:t xml:space="preserve"> </w:t>
      </w:r>
      <w:r>
        <w:rPr>
          <w:rFonts w:hint="eastAsia"/>
        </w:rPr>
        <w:t>基金支出不包含调出资金11600万元，若包含，则为437001万元，与审计报告一致。</w:t>
      </w:r>
    </w:p>
  </w:footnote>
  <w:footnote w:id="1">
    <w:p>
      <w:pPr>
        <w:pStyle w:val="6"/>
      </w:pPr>
      <w:r>
        <w:rPr>
          <w:rStyle w:val="10"/>
        </w:rPr>
        <w:footnoteRef/>
      </w:r>
      <w:r>
        <w:t xml:space="preserve"> </w:t>
      </w:r>
      <w:r>
        <w:rPr>
          <w:rFonts w:hint="eastAsia"/>
        </w:rPr>
        <w:t>预算收入包含上级补助等转移性收入81325万元，若剔除转移性收入，则为340478万元，与审计报告一致。</w:t>
      </w:r>
    </w:p>
  </w:footnote>
  <w:footnote w:id="2">
    <w:p>
      <w:pPr>
        <w:pStyle w:val="6"/>
      </w:pPr>
      <w:r>
        <w:rPr>
          <w:rStyle w:val="10"/>
        </w:rPr>
        <w:footnoteRef/>
      </w:r>
      <w:r>
        <w:t xml:space="preserve"> </w:t>
      </w:r>
      <w:r>
        <w:rPr>
          <w:rFonts w:hint="eastAsia"/>
        </w:rPr>
        <w:t>决算收入包含上级补助等转移性收入85600万元，若剔除转移性收入，则为353017万元，与审计报告一致。</w:t>
      </w:r>
    </w:p>
  </w:footnote>
  <w:footnote w:id="3">
    <w:p>
      <w:pPr>
        <w:pStyle w:val="6"/>
      </w:pPr>
      <w:r>
        <w:rPr>
          <w:rStyle w:val="10"/>
        </w:rPr>
        <w:footnoteRef/>
      </w:r>
      <w:r>
        <w:t xml:space="preserve"> </w:t>
      </w:r>
      <w:r>
        <w:rPr>
          <w:rFonts w:hint="eastAsia"/>
        </w:rPr>
        <w:t>自收自支和保留缴费渠道的机关事业人员的机关事业养老保险收支尚未纳入全国社保基金决算范围，若包含此类人员，则2019年末全市社保基金结余为17655万元。由于计算尾差因素和审计报告差距1万元金额。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27CF"/>
    <w:multiLevelType w:val="singleLevel"/>
    <w:tmpl w:val="5B7227CF"/>
    <w:lvl w:ilvl="0" w:tentative="0">
      <w:start w:val="1"/>
      <w:numFmt w:val="decimal"/>
      <w:suff w:val="nothing"/>
      <w:lvlText w:val="%1、"/>
      <w:lvlJc w:val="left"/>
    </w:lvl>
  </w:abstractNum>
  <w:abstractNum w:abstractNumId="1">
    <w:nsid w:val="5C6B5739"/>
    <w:multiLevelType w:val="singleLevel"/>
    <w:tmpl w:val="5C6B5739"/>
    <w:lvl w:ilvl="0" w:tentative="0">
      <w:start w:val="18"/>
      <w:numFmt w:val="decimal"/>
      <w:suff w:val="nothing"/>
      <w:lvlText w:val="%1."/>
      <w:lvlJc w:val="left"/>
    </w:lvl>
  </w:abstractNum>
  <w:abstractNum w:abstractNumId="2">
    <w:nsid w:val="5F28B8AF"/>
    <w:multiLevelType w:val="singleLevel"/>
    <w:tmpl w:val="5F28B8AF"/>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E0D"/>
    <w:rsid w:val="00070139"/>
    <w:rsid w:val="00072462"/>
    <w:rsid w:val="00081CAE"/>
    <w:rsid w:val="00083403"/>
    <w:rsid w:val="000A04F8"/>
    <w:rsid w:val="000A13EB"/>
    <w:rsid w:val="000A6E36"/>
    <w:rsid w:val="000B5DF1"/>
    <w:rsid w:val="000C7739"/>
    <w:rsid w:val="000E227C"/>
    <w:rsid w:val="000F2E40"/>
    <w:rsid w:val="0011762E"/>
    <w:rsid w:val="00123D3F"/>
    <w:rsid w:val="00143A2A"/>
    <w:rsid w:val="0014593C"/>
    <w:rsid w:val="001566D4"/>
    <w:rsid w:val="00167E30"/>
    <w:rsid w:val="00172A27"/>
    <w:rsid w:val="00185C32"/>
    <w:rsid w:val="001A05E6"/>
    <w:rsid w:val="001C0C44"/>
    <w:rsid w:val="001F4F57"/>
    <w:rsid w:val="001F536C"/>
    <w:rsid w:val="00207733"/>
    <w:rsid w:val="002133C0"/>
    <w:rsid w:val="00217703"/>
    <w:rsid w:val="0022304E"/>
    <w:rsid w:val="00237C2D"/>
    <w:rsid w:val="00242748"/>
    <w:rsid w:val="00266244"/>
    <w:rsid w:val="002C3F09"/>
    <w:rsid w:val="002D1AAD"/>
    <w:rsid w:val="002E0B29"/>
    <w:rsid w:val="002F2C2B"/>
    <w:rsid w:val="00302FDF"/>
    <w:rsid w:val="00332662"/>
    <w:rsid w:val="003414F6"/>
    <w:rsid w:val="00345BD4"/>
    <w:rsid w:val="00355F3B"/>
    <w:rsid w:val="003661E4"/>
    <w:rsid w:val="00385801"/>
    <w:rsid w:val="00393170"/>
    <w:rsid w:val="003B66F8"/>
    <w:rsid w:val="003D066B"/>
    <w:rsid w:val="003E5536"/>
    <w:rsid w:val="00402755"/>
    <w:rsid w:val="00425D14"/>
    <w:rsid w:val="0043148E"/>
    <w:rsid w:val="004326AC"/>
    <w:rsid w:val="00434C2E"/>
    <w:rsid w:val="00451DE7"/>
    <w:rsid w:val="0046309E"/>
    <w:rsid w:val="004812DB"/>
    <w:rsid w:val="00483673"/>
    <w:rsid w:val="00483DC3"/>
    <w:rsid w:val="004852BD"/>
    <w:rsid w:val="00491D48"/>
    <w:rsid w:val="00492356"/>
    <w:rsid w:val="005116ED"/>
    <w:rsid w:val="005146BF"/>
    <w:rsid w:val="00515131"/>
    <w:rsid w:val="00515A53"/>
    <w:rsid w:val="00561262"/>
    <w:rsid w:val="005813A7"/>
    <w:rsid w:val="00581434"/>
    <w:rsid w:val="00581AFA"/>
    <w:rsid w:val="005873F1"/>
    <w:rsid w:val="005C168A"/>
    <w:rsid w:val="005E5E3B"/>
    <w:rsid w:val="005F5196"/>
    <w:rsid w:val="00610DB4"/>
    <w:rsid w:val="006347E1"/>
    <w:rsid w:val="006417DE"/>
    <w:rsid w:val="00652042"/>
    <w:rsid w:val="00684DB7"/>
    <w:rsid w:val="00686ED2"/>
    <w:rsid w:val="006A5D8D"/>
    <w:rsid w:val="006C1471"/>
    <w:rsid w:val="00705205"/>
    <w:rsid w:val="007324AB"/>
    <w:rsid w:val="00741C8A"/>
    <w:rsid w:val="00760043"/>
    <w:rsid w:val="00771B66"/>
    <w:rsid w:val="007A0D1C"/>
    <w:rsid w:val="007D7F4C"/>
    <w:rsid w:val="007E0093"/>
    <w:rsid w:val="007E0AE1"/>
    <w:rsid w:val="007E1DB1"/>
    <w:rsid w:val="007F345E"/>
    <w:rsid w:val="008171D4"/>
    <w:rsid w:val="008339E6"/>
    <w:rsid w:val="00856177"/>
    <w:rsid w:val="00865642"/>
    <w:rsid w:val="0086792B"/>
    <w:rsid w:val="0088325A"/>
    <w:rsid w:val="008B5912"/>
    <w:rsid w:val="008C35DD"/>
    <w:rsid w:val="008C3D5D"/>
    <w:rsid w:val="008C7CCC"/>
    <w:rsid w:val="008F6B59"/>
    <w:rsid w:val="00930FD8"/>
    <w:rsid w:val="009346FA"/>
    <w:rsid w:val="0094428A"/>
    <w:rsid w:val="00947E57"/>
    <w:rsid w:val="00956120"/>
    <w:rsid w:val="00970AED"/>
    <w:rsid w:val="009A7DBB"/>
    <w:rsid w:val="009E5B5F"/>
    <w:rsid w:val="009F21AF"/>
    <w:rsid w:val="009F2AB0"/>
    <w:rsid w:val="00A161B2"/>
    <w:rsid w:val="00A24B70"/>
    <w:rsid w:val="00A47CC3"/>
    <w:rsid w:val="00A613CC"/>
    <w:rsid w:val="00AA61DF"/>
    <w:rsid w:val="00AB7512"/>
    <w:rsid w:val="00AC30D0"/>
    <w:rsid w:val="00AC4553"/>
    <w:rsid w:val="00AC7266"/>
    <w:rsid w:val="00AF0C6B"/>
    <w:rsid w:val="00AF4D49"/>
    <w:rsid w:val="00B00B50"/>
    <w:rsid w:val="00B123D3"/>
    <w:rsid w:val="00B350B1"/>
    <w:rsid w:val="00B40BE0"/>
    <w:rsid w:val="00B50D46"/>
    <w:rsid w:val="00B53FAA"/>
    <w:rsid w:val="00B66E08"/>
    <w:rsid w:val="00B741B6"/>
    <w:rsid w:val="00B76CA5"/>
    <w:rsid w:val="00B8408C"/>
    <w:rsid w:val="00B93F83"/>
    <w:rsid w:val="00BA5AC8"/>
    <w:rsid w:val="00BB6148"/>
    <w:rsid w:val="00BD06F7"/>
    <w:rsid w:val="00BE7408"/>
    <w:rsid w:val="00C218C9"/>
    <w:rsid w:val="00C35060"/>
    <w:rsid w:val="00C41A37"/>
    <w:rsid w:val="00C41E45"/>
    <w:rsid w:val="00C54F3E"/>
    <w:rsid w:val="00C86796"/>
    <w:rsid w:val="00C9484C"/>
    <w:rsid w:val="00C948CD"/>
    <w:rsid w:val="00CC0874"/>
    <w:rsid w:val="00CC461B"/>
    <w:rsid w:val="00D0326B"/>
    <w:rsid w:val="00D049EF"/>
    <w:rsid w:val="00D10E99"/>
    <w:rsid w:val="00D240ED"/>
    <w:rsid w:val="00D309FA"/>
    <w:rsid w:val="00DB7142"/>
    <w:rsid w:val="00DC03AB"/>
    <w:rsid w:val="00DD45EA"/>
    <w:rsid w:val="00E01479"/>
    <w:rsid w:val="00E03199"/>
    <w:rsid w:val="00E0419E"/>
    <w:rsid w:val="00E20472"/>
    <w:rsid w:val="00E34627"/>
    <w:rsid w:val="00E539C6"/>
    <w:rsid w:val="00E556CB"/>
    <w:rsid w:val="00E61047"/>
    <w:rsid w:val="00E849F9"/>
    <w:rsid w:val="00EA356A"/>
    <w:rsid w:val="00EC7D19"/>
    <w:rsid w:val="00ED407F"/>
    <w:rsid w:val="00EE2884"/>
    <w:rsid w:val="00F01D36"/>
    <w:rsid w:val="00F14C37"/>
    <w:rsid w:val="00F2488E"/>
    <w:rsid w:val="00F46E56"/>
    <w:rsid w:val="00F527DD"/>
    <w:rsid w:val="00F644A3"/>
    <w:rsid w:val="00F67B03"/>
    <w:rsid w:val="00F75B9C"/>
    <w:rsid w:val="00F81C7C"/>
    <w:rsid w:val="00F954EB"/>
    <w:rsid w:val="00FA61E7"/>
    <w:rsid w:val="00FC5B35"/>
    <w:rsid w:val="00FE0CCC"/>
    <w:rsid w:val="00FF1ED1"/>
    <w:rsid w:val="02304B19"/>
    <w:rsid w:val="0EA93960"/>
    <w:rsid w:val="14FF4613"/>
    <w:rsid w:val="1EF86EFC"/>
    <w:rsid w:val="273014B8"/>
    <w:rsid w:val="300C6973"/>
    <w:rsid w:val="30D41703"/>
    <w:rsid w:val="37451DAE"/>
    <w:rsid w:val="3BA95660"/>
    <w:rsid w:val="46B7773A"/>
    <w:rsid w:val="4D5A2EA7"/>
    <w:rsid w:val="4FF127D3"/>
    <w:rsid w:val="56505F66"/>
    <w:rsid w:val="59506DF6"/>
    <w:rsid w:val="60D17531"/>
    <w:rsid w:val="626822BD"/>
    <w:rsid w:val="64C90A42"/>
    <w:rsid w:val="6CD7035A"/>
    <w:rsid w:val="6E21540F"/>
    <w:rsid w:val="73003654"/>
    <w:rsid w:val="76DE2820"/>
    <w:rsid w:val="7BAE3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2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2"/>
    <w:unhideWhenUsed/>
    <w:qFormat/>
    <w:uiPriority w:val="99"/>
    <w:pPr>
      <w:snapToGrid w:val="0"/>
      <w:jc w:val="left"/>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page number"/>
    <w:basedOn w:val="8"/>
    <w:unhideWhenUsed/>
    <w:qFormat/>
    <w:uiPriority w:val="99"/>
  </w:style>
  <w:style w:type="character" w:styleId="10">
    <w:name w:val="footnote reference"/>
    <w:basedOn w:val="8"/>
    <w:unhideWhenUsed/>
    <w:qFormat/>
    <w:uiPriority w:val="99"/>
    <w:rPr>
      <w:vertAlign w:val="superscript"/>
    </w:rPr>
  </w:style>
  <w:style w:type="character" w:customStyle="1" w:styleId="12">
    <w:name w:val="脚注文本 Char"/>
    <w:basedOn w:val="8"/>
    <w:link w:val="6"/>
    <w:qFormat/>
    <w:uiPriority w:val="99"/>
    <w:rPr>
      <w:sz w:val="18"/>
      <w:szCs w:val="18"/>
    </w:rPr>
  </w:style>
  <w:style w:type="character" w:customStyle="1" w:styleId="13">
    <w:name w:val="脚注文本 Char1"/>
    <w:basedOn w:val="8"/>
    <w:semiHidden/>
    <w:qFormat/>
    <w:uiPriority w:val="99"/>
    <w:rPr>
      <w:rFonts w:ascii="Times New Roman" w:hAnsi="Times New Roman" w:eastAsia="仿宋_GB2312" w:cs="Times New Roman"/>
      <w:sz w:val="18"/>
      <w:szCs w:val="18"/>
    </w:rPr>
  </w:style>
  <w:style w:type="character" w:customStyle="1" w:styleId="14">
    <w:name w:val="页眉 Char"/>
    <w:basedOn w:val="8"/>
    <w:link w:val="5"/>
    <w:qFormat/>
    <w:uiPriority w:val="99"/>
    <w:rPr>
      <w:rFonts w:ascii="Times New Roman" w:hAnsi="Times New Roman" w:eastAsia="仿宋_GB2312" w:cs="Times New Roman"/>
      <w:sz w:val="18"/>
      <w:szCs w:val="18"/>
    </w:rPr>
  </w:style>
  <w:style w:type="character" w:customStyle="1" w:styleId="15">
    <w:name w:val="页脚 Char"/>
    <w:basedOn w:val="8"/>
    <w:link w:val="4"/>
    <w:qFormat/>
    <w:uiPriority w:val="99"/>
    <w:rPr>
      <w:rFonts w:ascii="Times New Roman" w:hAnsi="Times New Roman" w:eastAsia="仿宋_GB2312" w:cs="Times New Roman"/>
      <w:sz w:val="18"/>
      <w:szCs w:val="18"/>
    </w:rPr>
  </w:style>
  <w:style w:type="character" w:customStyle="1" w:styleId="16">
    <w:name w:val="font61"/>
    <w:basedOn w:val="8"/>
    <w:qFormat/>
    <w:uiPriority w:val="0"/>
    <w:rPr>
      <w:rFonts w:hint="eastAsia" w:ascii="宋体" w:hAnsi="宋体" w:eastAsia="宋体" w:cs="宋体"/>
      <w:color w:val="000000"/>
      <w:sz w:val="20"/>
      <w:szCs w:val="20"/>
      <w:u w:val="none"/>
    </w:rPr>
  </w:style>
  <w:style w:type="character" w:customStyle="1" w:styleId="17">
    <w:name w:val="font91"/>
    <w:basedOn w:val="8"/>
    <w:qFormat/>
    <w:uiPriority w:val="0"/>
    <w:rPr>
      <w:rFonts w:hint="eastAsia" w:ascii="宋体" w:hAnsi="宋体" w:eastAsia="宋体" w:cs="宋体"/>
      <w:color w:val="000000"/>
      <w:sz w:val="20"/>
      <w:szCs w:val="20"/>
      <w:u w:val="none"/>
    </w:rPr>
  </w:style>
  <w:style w:type="character" w:customStyle="1" w:styleId="18">
    <w:name w:val="font101"/>
    <w:basedOn w:val="8"/>
    <w:qFormat/>
    <w:uiPriority w:val="0"/>
    <w:rPr>
      <w:rFonts w:hint="default" w:ascii="Times New Roman" w:hAnsi="Times New Roman" w:cs="Times New Roman"/>
      <w:b/>
      <w:color w:val="000000"/>
      <w:sz w:val="36"/>
      <w:szCs w:val="36"/>
      <w:u w:val="none"/>
    </w:rPr>
  </w:style>
  <w:style w:type="character" w:customStyle="1" w:styleId="19">
    <w:name w:val="font71"/>
    <w:basedOn w:val="8"/>
    <w:qFormat/>
    <w:uiPriority w:val="0"/>
    <w:rPr>
      <w:rFonts w:hint="default" w:ascii="Times New Roman" w:hAnsi="Times New Roman" w:cs="Times New Roman"/>
      <w:b/>
      <w:color w:val="000000"/>
      <w:sz w:val="22"/>
      <w:szCs w:val="22"/>
      <w:u w:val="none"/>
    </w:rPr>
  </w:style>
  <w:style w:type="character" w:customStyle="1" w:styleId="20">
    <w:name w:val="font81"/>
    <w:basedOn w:val="8"/>
    <w:qFormat/>
    <w:uiPriority w:val="0"/>
    <w:rPr>
      <w:rFonts w:hint="default" w:ascii="Times New Roman" w:hAnsi="Times New Roman" w:cs="Times New Roman"/>
      <w:color w:val="000000"/>
      <w:sz w:val="22"/>
      <w:szCs w:val="22"/>
      <w:u w:val="none"/>
    </w:rPr>
  </w:style>
  <w:style w:type="character" w:customStyle="1" w:styleId="21">
    <w:name w:val="font31"/>
    <w:basedOn w:val="8"/>
    <w:qFormat/>
    <w:uiPriority w:val="0"/>
    <w:rPr>
      <w:rFonts w:hint="eastAsia" w:ascii="宋体" w:hAnsi="宋体" w:eastAsia="宋体" w:cs="宋体"/>
      <w:color w:val="000000"/>
      <w:sz w:val="22"/>
      <w:szCs w:val="22"/>
      <w:u w:val="none"/>
    </w:rPr>
  </w:style>
  <w:style w:type="character" w:customStyle="1" w:styleId="22">
    <w:name w:val="font01"/>
    <w:basedOn w:val="8"/>
    <w:qFormat/>
    <w:uiPriority w:val="0"/>
    <w:rPr>
      <w:rFonts w:hint="eastAsia" w:ascii="宋体" w:hAnsi="宋体" w:eastAsia="宋体" w:cs="宋体"/>
      <w:color w:val="000000"/>
      <w:sz w:val="20"/>
      <w:szCs w:val="20"/>
      <w:u w:val="none"/>
    </w:rPr>
  </w:style>
  <w:style w:type="character" w:customStyle="1" w:styleId="23">
    <w:name w:val="批注框文本 Char"/>
    <w:basedOn w:val="8"/>
    <w:link w:val="3"/>
    <w:semiHidden/>
    <w:qFormat/>
    <w:uiPriority w:val="99"/>
    <w:rPr>
      <w:rFonts w:eastAsia="仿宋_GB2312"/>
      <w:kern w:val="2"/>
      <w:sz w:val="18"/>
      <w:szCs w:val="18"/>
    </w:rPr>
  </w:style>
  <w:style w:type="character" w:customStyle="1" w:styleId="24">
    <w:name w:val="font21"/>
    <w:basedOn w:val="8"/>
    <w:uiPriority w:val="0"/>
    <w:rPr>
      <w:rFonts w:hint="default" w:ascii="Times New Roman" w:hAnsi="Times New Roman" w:cs="Times New Roman"/>
      <w:color w:val="000000"/>
      <w:sz w:val="22"/>
      <w:szCs w:val="22"/>
      <w:u w:val="none"/>
    </w:rPr>
  </w:style>
  <w:style w:type="character" w:customStyle="1" w:styleId="25">
    <w:name w:val="font11"/>
    <w:basedOn w:val="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63D34-75A3-43AE-9E4E-C1EE313A489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72</Pages>
  <Words>9276</Words>
  <Characters>52879</Characters>
  <Lines>440</Lines>
  <Paragraphs>124</Paragraphs>
  <TotalTime>8</TotalTime>
  <ScaleCrop>false</ScaleCrop>
  <LinksUpToDate>false</LinksUpToDate>
  <CharactersWithSpaces>62031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2019-08-19T02:06:00Z</dcterms:created>
  <dc:creator>建德办公室秘书</dc:creator>
  <cp:lastModifiedBy>仇勇</cp:lastModifiedBy>
  <cp:lastPrinted>2020-08-13T01:20:00Z</cp:lastPrinted>
  <dcterms:modified xsi:type="dcterms:W3CDTF">2021-06-18T08:01:26Z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