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sz w:val="36"/>
          <w:szCs w:val="36"/>
        </w:rPr>
      </w:pPr>
      <w:r>
        <w:rPr>
          <w:rFonts w:hint="eastAsia"/>
          <w:sz w:val="36"/>
          <w:szCs w:val="36"/>
        </w:rPr>
        <w:t>建设项目环境保护设施竣工验收审批意见</w:t>
      </w:r>
    </w:p>
    <w:p>
      <w:pPr>
        <w:spacing w:line="560" w:lineRule="exact"/>
        <w:jc w:val="center"/>
        <w:rPr>
          <w:sz w:val="36"/>
          <w:szCs w:val="36"/>
        </w:rPr>
      </w:pPr>
      <w:r>
        <w:rPr>
          <w:rFonts w:hint="eastAsia"/>
          <w:sz w:val="36"/>
          <w:szCs w:val="36"/>
          <w:lang w:eastAsia="zh-CN"/>
        </w:rPr>
        <w:t>（固废）</w:t>
      </w:r>
    </w:p>
    <w:p>
      <w:pPr>
        <w:rPr>
          <w:rFonts w:asciiTheme="minorEastAsia" w:hAnsiTheme="minorEastAsia"/>
          <w:sz w:val="24"/>
          <w:szCs w:val="24"/>
        </w:rPr>
      </w:pPr>
      <w:r>
        <w:rPr>
          <w:rFonts w:hint="eastAsia"/>
          <w:sz w:val="24"/>
          <w:szCs w:val="24"/>
        </w:rPr>
        <w:t>建环验（监）</w:t>
      </w:r>
      <w:r>
        <w:rPr>
          <w:rFonts w:hint="eastAsia" w:asciiTheme="minorEastAsia" w:hAnsiTheme="minorEastAsia"/>
          <w:sz w:val="24"/>
          <w:szCs w:val="24"/>
        </w:rPr>
        <w:t>【201</w:t>
      </w:r>
      <w:r>
        <w:rPr>
          <w:rFonts w:hint="eastAsia" w:asciiTheme="minorEastAsia" w:hAnsiTheme="minorEastAsia"/>
          <w:sz w:val="24"/>
          <w:szCs w:val="24"/>
          <w:lang w:val="en-US" w:eastAsia="zh-CN"/>
        </w:rPr>
        <w:t>9</w:t>
      </w:r>
      <w:r>
        <w:rPr>
          <w:rFonts w:hint="eastAsia" w:asciiTheme="minorEastAsia" w:hAnsiTheme="minorEastAsia"/>
          <w:sz w:val="24"/>
          <w:szCs w:val="24"/>
        </w:rPr>
        <w:t>】</w:t>
      </w:r>
      <w:r>
        <w:rPr>
          <w:rFonts w:hint="eastAsia" w:asciiTheme="minorEastAsia" w:hAnsiTheme="minorEastAsia"/>
          <w:sz w:val="24"/>
          <w:szCs w:val="24"/>
          <w:lang w:val="en-US" w:eastAsia="zh-CN"/>
        </w:rPr>
        <w:t>A</w:t>
      </w:r>
      <w:r>
        <w:rPr>
          <w:rFonts w:hint="eastAsia" w:asciiTheme="minorEastAsia" w:hAnsiTheme="minorEastAsia"/>
          <w:sz w:val="24"/>
          <w:szCs w:val="24"/>
        </w:rPr>
        <w:t>0</w:t>
      </w:r>
      <w:r>
        <w:rPr>
          <w:rFonts w:hint="eastAsia" w:asciiTheme="minorEastAsia" w:hAnsiTheme="minorEastAsia"/>
          <w:sz w:val="24"/>
          <w:szCs w:val="24"/>
          <w:lang w:val="en-US" w:eastAsia="zh-CN"/>
        </w:rPr>
        <w:t>15</w:t>
      </w:r>
      <w:r>
        <w:rPr>
          <w:rFonts w:hint="eastAsia" w:asciiTheme="minorEastAsia" w:hAnsiTheme="minorEastAsia"/>
          <w:sz w:val="24"/>
          <w:szCs w:val="24"/>
        </w:rPr>
        <w:t>号</w:t>
      </w:r>
    </w:p>
    <w:tbl>
      <w:tblPr>
        <w:tblStyle w:val="9"/>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9" w:hRule="atLeast"/>
        </w:trPr>
        <w:tc>
          <w:tcPr>
            <w:tcW w:w="1430" w:type="dxa"/>
            <w:vAlign w:val="center"/>
          </w:tcPr>
          <w:p>
            <w:pPr>
              <w:jc w:val="center"/>
              <w:rPr>
                <w:sz w:val="24"/>
                <w:szCs w:val="24"/>
              </w:rPr>
            </w:pPr>
            <w:r>
              <w:rPr>
                <w:rFonts w:hint="eastAsia"/>
                <w:sz w:val="24"/>
                <w:szCs w:val="24"/>
              </w:rPr>
              <w:t>送审单位</w:t>
            </w:r>
          </w:p>
        </w:tc>
        <w:tc>
          <w:tcPr>
            <w:tcW w:w="7155" w:type="dxa"/>
            <w:tcBorders>
              <w:bottom w:val="single" w:color="auto" w:sz="4" w:space="0"/>
            </w:tcBorders>
            <w:vAlign w:val="center"/>
          </w:tcPr>
          <w:p>
            <w:pPr>
              <w:spacing w:line="400" w:lineRule="exact"/>
              <w:jc w:val="center"/>
              <w:rPr>
                <w:rFonts w:ascii="仿宋" w:hAnsi="仿宋" w:eastAsia="仿宋"/>
                <w:sz w:val="32"/>
                <w:szCs w:val="32"/>
              </w:rPr>
            </w:pPr>
            <w:r>
              <w:rPr>
                <w:rFonts w:hint="eastAsia" w:ascii="仿宋" w:hAnsi="仿宋" w:eastAsia="仿宋"/>
                <w:sz w:val="32"/>
                <w:szCs w:val="32"/>
                <w:lang w:val="en-US" w:eastAsia="zh-CN"/>
              </w:rPr>
              <w:t>建德海螺水泥有限责任公司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atLeast"/>
        </w:trPr>
        <w:tc>
          <w:tcPr>
            <w:tcW w:w="1430" w:type="dxa"/>
            <w:vAlign w:val="center"/>
          </w:tcPr>
          <w:p>
            <w:pPr>
              <w:jc w:val="center"/>
              <w:rPr>
                <w:sz w:val="24"/>
                <w:szCs w:val="24"/>
              </w:rPr>
            </w:pPr>
            <w:r>
              <w:rPr>
                <w:rFonts w:hint="eastAsia"/>
                <w:sz w:val="24"/>
                <w:szCs w:val="24"/>
              </w:rPr>
              <w:t>项目名称</w:t>
            </w:r>
          </w:p>
        </w:tc>
        <w:tc>
          <w:tcPr>
            <w:tcW w:w="7155" w:type="dxa"/>
            <w:tcBorders>
              <w:top w:val="single" w:color="auto" w:sz="4" w:space="0"/>
            </w:tcBorders>
            <w:vAlign w:val="center"/>
          </w:tcPr>
          <w:p>
            <w:pPr>
              <w:spacing w:line="400" w:lineRule="exact"/>
              <w:jc w:val="center"/>
              <w:rPr>
                <w:rFonts w:ascii="宋体" w:hAnsi="宋体" w:eastAsia="宋体"/>
                <w:sz w:val="32"/>
                <w:szCs w:val="32"/>
              </w:rPr>
            </w:pPr>
            <w:r>
              <w:rPr>
                <w:rFonts w:hint="eastAsia" w:ascii="仿宋" w:hAnsi="仿宋" w:eastAsia="仿宋"/>
                <w:sz w:val="32"/>
                <w:szCs w:val="32"/>
                <w:lang w:val="en-US" w:eastAsia="zh-CN"/>
              </w:rPr>
              <w:t>浙江省建德市大同镇春林山矿区水泥配料用砂岩矿矿山开采建设项目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1" w:hRule="atLeast"/>
        </w:trPr>
        <w:tc>
          <w:tcPr>
            <w:tcW w:w="8585" w:type="dxa"/>
            <w:gridSpan w:val="2"/>
            <w:vAlign w:val="top"/>
          </w:tcPr>
          <w:p>
            <w:pPr>
              <w:jc w:val="left"/>
              <w:rPr>
                <w:rFonts w:ascii="仿宋" w:hAnsi="仿宋" w:eastAsia="仿宋"/>
                <w:b/>
                <w:sz w:val="28"/>
                <w:szCs w:val="28"/>
              </w:rPr>
            </w:pPr>
            <w:r>
              <w:rPr>
                <w:rFonts w:hint="eastAsia" w:ascii="仿宋" w:hAnsi="仿宋" w:eastAsia="仿宋"/>
                <w:b/>
                <w:sz w:val="28"/>
                <w:szCs w:val="28"/>
              </w:rPr>
              <w:t>批复意见：</w:t>
            </w:r>
          </w:p>
          <w:p>
            <w:pPr>
              <w:keepNext w:val="0"/>
              <w:keepLines w:val="0"/>
              <w:pageBreakBefore w:val="0"/>
              <w:widowControl w:val="0"/>
              <w:kinsoku/>
              <w:wordWrap/>
              <w:overflowPunct/>
              <w:topLinePunct w:val="0"/>
              <w:autoSpaceDE/>
              <w:autoSpaceDN/>
              <w:bidi w:val="0"/>
              <w:adjustRightInd/>
              <w:snapToGrid w:val="0"/>
              <w:spacing w:line="312" w:lineRule="auto"/>
              <w:ind w:right="0" w:rightChars="0" w:firstLine="640" w:firstLineChars="200"/>
              <w:jc w:val="left"/>
              <w:textAlignment w:val="auto"/>
              <w:rPr>
                <w:rFonts w:hint="eastAsia" w:ascii="仿宋" w:hAnsi="仿宋" w:eastAsia="仿宋" w:cs="Times New Roman"/>
                <w:kern w:val="0"/>
                <w:sz w:val="32"/>
                <w:szCs w:val="32"/>
              </w:rPr>
            </w:pPr>
            <w:r>
              <w:rPr>
                <w:rFonts w:hint="eastAsia" w:ascii="仿宋" w:hAnsi="仿宋" w:eastAsia="仿宋"/>
                <w:sz w:val="32"/>
                <w:szCs w:val="32"/>
              </w:rPr>
              <w:t>应业主申请，</w:t>
            </w:r>
            <w:r>
              <w:rPr>
                <w:rFonts w:hint="eastAsia" w:ascii="仿宋" w:hAnsi="仿宋" w:eastAsia="仿宋"/>
                <w:sz w:val="32"/>
                <w:szCs w:val="32"/>
                <w:lang w:eastAsia="zh-CN"/>
              </w:rPr>
              <w:t>根据</w:t>
            </w:r>
            <w:r>
              <w:rPr>
                <w:rFonts w:hint="eastAsia" w:ascii="仿宋" w:hAnsi="仿宋" w:eastAsia="仿宋"/>
                <w:sz w:val="32"/>
                <w:szCs w:val="32"/>
              </w:rPr>
              <w:t>建环</w:t>
            </w:r>
            <w:r>
              <w:rPr>
                <w:rFonts w:hint="eastAsia" w:ascii="仿宋" w:hAnsi="仿宋" w:eastAsia="仿宋"/>
                <w:sz w:val="32"/>
                <w:szCs w:val="32"/>
                <w:lang w:eastAsia="zh-CN"/>
              </w:rPr>
              <w:t>许</w:t>
            </w:r>
            <w:r>
              <w:rPr>
                <w:rFonts w:hint="eastAsia" w:ascii="仿宋" w:hAnsi="仿宋" w:eastAsia="仿宋"/>
                <w:sz w:val="32"/>
                <w:szCs w:val="32"/>
              </w:rPr>
              <w:t>批〔201</w:t>
            </w:r>
            <w:r>
              <w:rPr>
                <w:rFonts w:hint="eastAsia" w:ascii="仿宋" w:hAnsi="仿宋" w:eastAsia="仿宋"/>
                <w:sz w:val="32"/>
                <w:szCs w:val="32"/>
                <w:lang w:val="en-US" w:eastAsia="zh-CN"/>
              </w:rPr>
              <w:t>4</w:t>
            </w:r>
            <w:r>
              <w:rPr>
                <w:rFonts w:hint="eastAsia" w:ascii="仿宋" w:hAnsi="仿宋" w:eastAsia="仿宋"/>
                <w:sz w:val="32"/>
                <w:szCs w:val="32"/>
              </w:rPr>
              <w:t>〕A00</w:t>
            </w:r>
            <w:r>
              <w:rPr>
                <w:rFonts w:hint="eastAsia" w:ascii="仿宋" w:hAnsi="仿宋" w:eastAsia="仿宋"/>
                <w:sz w:val="32"/>
                <w:szCs w:val="32"/>
                <w:lang w:val="en-US" w:eastAsia="zh-CN"/>
              </w:rPr>
              <w:t>9</w:t>
            </w:r>
            <w:r>
              <w:rPr>
                <w:rFonts w:hint="eastAsia" w:ascii="仿宋" w:hAnsi="仿宋" w:eastAsia="仿宋"/>
                <w:sz w:val="32"/>
                <w:szCs w:val="32"/>
              </w:rPr>
              <w:t>号批复意见的要求，</w:t>
            </w:r>
            <w:r>
              <w:rPr>
                <w:rFonts w:hint="eastAsia" w:ascii="仿宋" w:hAnsi="仿宋" w:eastAsia="仿宋"/>
                <w:sz w:val="32"/>
                <w:szCs w:val="32"/>
                <w:lang w:val="en-US" w:eastAsia="zh-CN"/>
              </w:rPr>
              <w:t>2019年8月23日</w:t>
            </w:r>
            <w:r>
              <w:rPr>
                <w:rFonts w:hint="eastAsia" w:ascii="仿宋" w:hAnsi="仿宋" w:eastAsia="仿宋"/>
                <w:sz w:val="32"/>
                <w:szCs w:val="32"/>
                <w:lang w:eastAsia="zh-CN"/>
              </w:rPr>
              <w:t>杭州市生态环境局建德分局</w:t>
            </w:r>
            <w:r>
              <w:rPr>
                <w:rFonts w:hint="eastAsia" w:ascii="仿宋" w:hAnsi="仿宋" w:eastAsia="仿宋"/>
                <w:sz w:val="32"/>
                <w:szCs w:val="32"/>
              </w:rPr>
              <w:t>组织对</w:t>
            </w:r>
            <w:r>
              <w:rPr>
                <w:rFonts w:hint="eastAsia" w:ascii="仿宋" w:hAnsi="仿宋" w:eastAsia="仿宋"/>
                <w:sz w:val="32"/>
                <w:szCs w:val="32"/>
                <w:lang w:val="en-US" w:eastAsia="zh-CN"/>
              </w:rPr>
              <w:t>建德海螺水泥有限责任公司浙江省建德市大同镇春林山矿区水泥配料用砂岩矿矿山开采建设项目</w:t>
            </w:r>
            <w:r>
              <w:rPr>
                <w:rFonts w:hint="eastAsia" w:ascii="仿宋" w:hAnsi="仿宋" w:eastAsia="仿宋"/>
                <w:sz w:val="32"/>
                <w:szCs w:val="32"/>
              </w:rPr>
              <w:t>进行</w:t>
            </w:r>
            <w:r>
              <w:rPr>
                <w:rFonts w:hint="eastAsia" w:ascii="仿宋" w:hAnsi="仿宋" w:eastAsia="仿宋"/>
                <w:sz w:val="32"/>
                <w:szCs w:val="32"/>
                <w:lang w:eastAsia="zh-CN"/>
              </w:rPr>
              <w:t>固废污染治理设施</w:t>
            </w:r>
            <w:r>
              <w:rPr>
                <w:rFonts w:hint="eastAsia" w:ascii="仿宋" w:hAnsi="仿宋" w:eastAsia="仿宋"/>
                <w:sz w:val="32"/>
                <w:szCs w:val="32"/>
              </w:rPr>
              <w:t>竣工环保“三同时”验收,参加</w:t>
            </w:r>
            <w:r>
              <w:rPr>
                <w:rFonts w:hint="eastAsia" w:ascii="仿宋" w:hAnsi="仿宋" w:eastAsia="仿宋"/>
                <w:sz w:val="32"/>
                <w:szCs w:val="32"/>
                <w:lang w:eastAsia="zh-CN"/>
              </w:rPr>
              <w:t>验收的单位有：</w:t>
            </w:r>
            <w:r>
              <w:rPr>
                <w:rFonts w:hint="eastAsia" w:ascii="仿宋" w:hAnsi="仿宋" w:eastAsia="仿宋"/>
                <w:sz w:val="32"/>
                <w:szCs w:val="32"/>
                <w:lang w:val="en-US" w:eastAsia="zh-CN"/>
              </w:rPr>
              <w:t>建德海螺水泥有限责任公司</w:t>
            </w:r>
            <w:r>
              <w:rPr>
                <w:rFonts w:hint="eastAsia" w:ascii="仿宋" w:hAnsi="仿宋" w:eastAsia="仿宋"/>
                <w:sz w:val="32"/>
                <w:szCs w:val="32"/>
                <w:lang w:eastAsia="zh-CN"/>
              </w:rPr>
              <w:t>（建设单位）</w:t>
            </w:r>
            <w:r>
              <w:rPr>
                <w:rFonts w:hint="eastAsia" w:ascii="仿宋" w:hAnsi="仿宋" w:eastAsia="仿宋" w:cs="Times New Roman"/>
                <w:kern w:val="0"/>
                <w:sz w:val="32"/>
                <w:szCs w:val="32"/>
                <w:lang w:eastAsia="zh-CN"/>
              </w:rPr>
              <w:t>等单位代表。</w:t>
            </w:r>
            <w:r>
              <w:rPr>
                <w:rFonts w:hint="eastAsia" w:ascii="仿宋" w:hAnsi="仿宋" w:eastAsia="仿宋" w:cs="Times New Roman"/>
                <w:kern w:val="0"/>
                <w:sz w:val="32"/>
                <w:szCs w:val="32"/>
              </w:rPr>
              <w:t>根据《建设项目环境保护管理条例》、《建设项目竣工环境保护验收</w:t>
            </w:r>
            <w:r>
              <w:rPr>
                <w:rFonts w:hint="eastAsia" w:ascii="仿宋" w:hAnsi="仿宋" w:eastAsia="仿宋" w:cs="Times New Roman"/>
                <w:kern w:val="0"/>
                <w:sz w:val="32"/>
                <w:szCs w:val="32"/>
                <w:lang w:eastAsia="zh-CN"/>
              </w:rPr>
              <w:t>暂行</w:t>
            </w:r>
            <w:r>
              <w:rPr>
                <w:rFonts w:hint="eastAsia" w:ascii="仿宋" w:hAnsi="仿宋" w:eastAsia="仿宋" w:cs="Times New Roman"/>
                <w:kern w:val="0"/>
                <w:sz w:val="32"/>
                <w:szCs w:val="32"/>
              </w:rPr>
              <w:t>办法》等有关法规和</w:t>
            </w:r>
            <w:r>
              <w:rPr>
                <w:rFonts w:hint="eastAsia" w:ascii="仿宋" w:hAnsi="仿宋" w:eastAsia="仿宋" w:cs="Times New Roman"/>
                <w:kern w:val="0"/>
                <w:sz w:val="32"/>
                <w:szCs w:val="32"/>
                <w:lang w:eastAsia="zh-CN"/>
              </w:rPr>
              <w:t>业主提交的竣工验收申请材料</w:t>
            </w:r>
            <w:r>
              <w:rPr>
                <w:rFonts w:hint="eastAsia" w:ascii="仿宋" w:hAnsi="仿宋" w:eastAsia="仿宋" w:cs="Times New Roman"/>
                <w:kern w:val="0"/>
                <w:sz w:val="32"/>
                <w:szCs w:val="32"/>
              </w:rPr>
              <w:t>以及环境保护设施</w:t>
            </w:r>
            <w:r>
              <w:rPr>
                <w:rFonts w:hint="eastAsia" w:ascii="仿宋" w:hAnsi="仿宋" w:eastAsia="仿宋" w:cs="Times New Roman"/>
                <w:kern w:val="0"/>
                <w:sz w:val="32"/>
                <w:szCs w:val="32"/>
                <w:lang w:eastAsia="zh-CN"/>
              </w:rPr>
              <w:t>（固废）</w:t>
            </w:r>
            <w:r>
              <w:rPr>
                <w:rFonts w:hint="eastAsia" w:ascii="仿宋" w:hAnsi="仿宋" w:eastAsia="仿宋" w:cs="Times New Roman"/>
                <w:kern w:val="0"/>
                <w:sz w:val="32"/>
                <w:szCs w:val="32"/>
              </w:rPr>
              <w:t>竣工验收现场检查组</w:t>
            </w:r>
            <w:r>
              <w:rPr>
                <w:rFonts w:hint="eastAsia" w:ascii="仿宋" w:hAnsi="仿宋" w:eastAsia="仿宋" w:cs="Times New Roman"/>
                <w:kern w:val="0"/>
                <w:sz w:val="32"/>
                <w:szCs w:val="32"/>
                <w:lang w:eastAsia="zh-CN"/>
              </w:rPr>
              <w:t>现场讨论</w:t>
            </w:r>
            <w:r>
              <w:rPr>
                <w:rFonts w:hint="eastAsia" w:ascii="仿宋" w:hAnsi="仿宋" w:eastAsia="仿宋" w:cs="Times New Roman"/>
                <w:kern w:val="0"/>
                <w:sz w:val="32"/>
                <w:szCs w:val="32"/>
              </w:rPr>
              <w:t>意见，经研究，现将</w:t>
            </w:r>
            <w:r>
              <w:rPr>
                <w:rFonts w:hint="eastAsia" w:ascii="仿宋" w:hAnsi="仿宋" w:eastAsia="仿宋" w:cs="Times New Roman"/>
                <w:kern w:val="0"/>
                <w:sz w:val="32"/>
                <w:szCs w:val="32"/>
                <w:lang w:eastAsia="zh-CN"/>
              </w:rPr>
              <w:t>固废</w:t>
            </w:r>
            <w:r>
              <w:rPr>
                <w:rFonts w:hint="eastAsia" w:ascii="仿宋" w:hAnsi="仿宋" w:eastAsia="仿宋" w:cs="Times New Roman"/>
                <w:kern w:val="0"/>
                <w:sz w:val="32"/>
                <w:szCs w:val="32"/>
              </w:rPr>
              <w:t>环境保护设施验收意见函复如下：</w:t>
            </w:r>
          </w:p>
          <w:p>
            <w:pPr>
              <w:keepNext w:val="0"/>
              <w:keepLines w:val="0"/>
              <w:pageBreakBefore w:val="0"/>
              <w:widowControl w:val="0"/>
              <w:numPr>
                <w:ilvl w:val="0"/>
                <w:numId w:val="1"/>
              </w:numPr>
              <w:kinsoku/>
              <w:wordWrap/>
              <w:overflowPunct/>
              <w:topLinePunct w:val="0"/>
              <w:autoSpaceDE/>
              <w:autoSpaceDN/>
              <w:bidi w:val="0"/>
              <w:adjustRightInd/>
              <w:snapToGrid w:val="0"/>
              <w:spacing w:line="312" w:lineRule="auto"/>
              <w:ind w:right="0" w:rightChars="0" w:firstLine="640" w:firstLineChars="200"/>
              <w:jc w:val="left"/>
              <w:textAlignment w:val="auto"/>
              <w:outlineLvl w:val="0"/>
              <w:rPr>
                <w:rFonts w:hint="eastAsia" w:ascii="仿宋" w:hAnsi="仿宋" w:eastAsia="仿宋"/>
                <w:sz w:val="32"/>
                <w:szCs w:val="32"/>
                <w:lang w:eastAsia="zh-CN"/>
              </w:rPr>
            </w:pPr>
            <w:r>
              <w:rPr>
                <w:rFonts w:hint="eastAsia" w:ascii="仿宋" w:hAnsi="仿宋" w:eastAsia="仿宋" w:cs="Times New Roman"/>
                <w:kern w:val="0"/>
                <w:sz w:val="32"/>
                <w:szCs w:val="32"/>
                <w:lang w:eastAsia="zh-CN"/>
              </w:rPr>
              <w:t>根据环评审批内容，</w:t>
            </w:r>
            <w:r>
              <w:rPr>
                <w:rFonts w:hint="eastAsia" w:ascii="仿宋" w:hAnsi="仿宋" w:eastAsia="仿宋"/>
                <w:sz w:val="32"/>
                <w:szCs w:val="32"/>
                <w:lang w:eastAsia="zh-CN"/>
              </w:rPr>
              <w:t>该项目</w:t>
            </w:r>
            <w:r>
              <w:rPr>
                <w:rFonts w:hint="eastAsia" w:ascii="仿宋" w:hAnsi="仿宋" w:eastAsia="仿宋" w:cs="Times New Roman"/>
                <w:kern w:val="0"/>
                <w:sz w:val="32"/>
                <w:szCs w:val="32"/>
                <w:lang w:eastAsia="zh-CN"/>
              </w:rPr>
              <w:t>位于建德市大同镇，建设规模为</w:t>
            </w:r>
            <w:r>
              <w:rPr>
                <w:rFonts w:hint="eastAsia" w:ascii="仿宋" w:hAnsi="仿宋" w:eastAsia="仿宋" w:cs="Times New Roman"/>
                <w:kern w:val="0"/>
                <w:sz w:val="32"/>
                <w:szCs w:val="32"/>
                <w:lang w:val="en-US" w:eastAsia="zh-CN"/>
              </w:rPr>
              <w:t>100万吨/年，现已建成。</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right="0" w:rightChars="0" w:firstLine="560" w:firstLineChars="200"/>
              <w:jc w:val="left"/>
              <w:textAlignment w:val="auto"/>
              <w:outlineLvl w:val="0"/>
              <w:rPr>
                <w:rFonts w:hint="eastAsia" w:ascii="仿宋" w:hAnsi="仿宋" w:eastAsia="仿宋" w:cs="Times New Roman"/>
                <w:kern w:val="0"/>
                <w:sz w:val="32"/>
                <w:szCs w:val="32"/>
                <w:lang w:val="en-US" w:eastAsia="zh-CN"/>
              </w:rPr>
            </w:pPr>
            <w:r>
              <w:rPr>
                <w:rFonts w:hint="eastAsia" w:ascii="仿宋" w:hAnsi="仿宋" w:eastAsia="仿宋"/>
                <w:sz w:val="28"/>
                <w:szCs w:val="28"/>
                <w:lang w:val="en-US" w:eastAsia="zh-CN"/>
              </w:rPr>
              <w:t>二、</w:t>
            </w:r>
            <w:r>
              <w:rPr>
                <w:rFonts w:hint="eastAsia" w:ascii="仿宋" w:hAnsi="仿宋" w:eastAsia="仿宋" w:cs="Times New Roman"/>
                <w:kern w:val="0"/>
                <w:sz w:val="32"/>
                <w:szCs w:val="32"/>
              </w:rPr>
              <w:t>本项目产生的固废包括一般固废和危险固废</w:t>
            </w:r>
            <w:r>
              <w:rPr>
                <w:rFonts w:hint="eastAsia" w:ascii="仿宋" w:hAnsi="仿宋" w:eastAsia="仿宋" w:cs="Times New Roman"/>
                <w:kern w:val="0"/>
                <w:sz w:val="32"/>
                <w:szCs w:val="32"/>
                <w:lang w:eastAsia="zh-CN"/>
              </w:rPr>
              <w:t>，厂区内设置有危废仓库</w:t>
            </w:r>
            <w:r>
              <w:rPr>
                <w:rFonts w:hint="eastAsia" w:ascii="仿宋" w:hAnsi="仿宋" w:eastAsia="仿宋" w:cs="Times New Roman"/>
                <w:kern w:val="0"/>
                <w:sz w:val="32"/>
                <w:szCs w:val="32"/>
              </w:rPr>
              <w:t>。</w:t>
            </w:r>
            <w:r>
              <w:rPr>
                <w:rFonts w:hint="eastAsia" w:ascii="仿宋" w:hAnsi="仿宋" w:eastAsia="仿宋" w:cs="Times New Roman"/>
                <w:kern w:val="0"/>
                <w:sz w:val="32"/>
                <w:szCs w:val="32"/>
                <w:lang w:eastAsia="zh-CN"/>
              </w:rPr>
              <w:t>一般固废主要为</w:t>
            </w:r>
            <w:r>
              <w:rPr>
                <w:rFonts w:hint="eastAsia" w:ascii="仿宋" w:hAnsi="仿宋" w:eastAsia="仿宋" w:cs="Times New Roman"/>
                <w:kern w:val="0"/>
                <w:sz w:val="32"/>
                <w:szCs w:val="32"/>
              </w:rPr>
              <w:t>生活垃圾</w:t>
            </w:r>
            <w:r>
              <w:rPr>
                <w:rFonts w:hint="eastAsia" w:ascii="仿宋" w:hAnsi="仿宋" w:eastAsia="仿宋" w:cs="Times New Roman"/>
                <w:kern w:val="0"/>
                <w:sz w:val="32"/>
                <w:szCs w:val="32"/>
                <w:lang w:eastAsia="zh-CN"/>
              </w:rPr>
              <w:t>和沉淀泥砂，生活垃圾</w:t>
            </w:r>
            <w:r>
              <w:rPr>
                <w:rFonts w:hint="eastAsia" w:ascii="仿宋" w:hAnsi="仿宋" w:eastAsia="仿宋" w:cs="Times New Roman"/>
                <w:kern w:val="0"/>
                <w:sz w:val="32"/>
                <w:szCs w:val="32"/>
              </w:rPr>
              <w:t>委托当地环卫部门清运</w:t>
            </w:r>
            <w:r>
              <w:rPr>
                <w:rFonts w:hint="eastAsia" w:ascii="仿宋" w:hAnsi="仿宋" w:eastAsia="仿宋" w:cs="Times New Roman"/>
                <w:kern w:val="0"/>
                <w:sz w:val="32"/>
                <w:szCs w:val="32"/>
                <w:lang w:eastAsia="zh-CN"/>
              </w:rPr>
              <w:t>，沉淀泥沙回用于生产；废机油等属危险废物，委托了资质单位处置。</w:t>
            </w:r>
          </w:p>
          <w:p>
            <w:pPr>
              <w:keepNext w:val="0"/>
              <w:keepLines w:val="0"/>
              <w:pageBreakBefore w:val="0"/>
              <w:widowControl w:val="0"/>
              <w:kinsoku/>
              <w:wordWrap/>
              <w:overflowPunct/>
              <w:topLinePunct w:val="0"/>
              <w:autoSpaceDE/>
              <w:autoSpaceDN/>
              <w:bidi w:val="0"/>
              <w:adjustRightInd/>
              <w:snapToGrid w:val="0"/>
              <w:spacing w:line="312" w:lineRule="auto"/>
              <w:ind w:right="0" w:rightChars="0" w:firstLine="640" w:firstLineChars="200"/>
              <w:jc w:val="left"/>
              <w:textAlignment w:val="auto"/>
              <w:rPr>
                <w:rFonts w:ascii="仿宋" w:hAnsi="仿宋" w:eastAsia="仿宋"/>
                <w:sz w:val="32"/>
                <w:szCs w:val="32"/>
              </w:rPr>
            </w:pPr>
            <w:r>
              <w:rPr>
                <w:rFonts w:hint="eastAsia" w:ascii="仿宋" w:hAnsi="仿宋" w:eastAsia="仿宋"/>
                <w:sz w:val="32"/>
                <w:szCs w:val="32"/>
              </w:rPr>
              <w:t>三、该项目</w:t>
            </w:r>
            <w:r>
              <w:rPr>
                <w:rFonts w:hint="eastAsia" w:ascii="仿宋" w:hAnsi="仿宋" w:eastAsia="仿宋"/>
                <w:sz w:val="32"/>
                <w:szCs w:val="32"/>
                <w:lang w:eastAsia="zh-CN"/>
              </w:rPr>
              <w:t>基本</w:t>
            </w:r>
            <w:r>
              <w:rPr>
                <w:rFonts w:hint="eastAsia" w:ascii="仿宋" w:hAnsi="仿宋" w:eastAsia="仿宋"/>
                <w:sz w:val="32"/>
                <w:szCs w:val="32"/>
              </w:rPr>
              <w:t>落实了环评</w:t>
            </w:r>
            <w:r>
              <w:rPr>
                <w:rFonts w:hint="eastAsia" w:ascii="仿宋" w:hAnsi="仿宋" w:eastAsia="仿宋"/>
                <w:sz w:val="32"/>
                <w:szCs w:val="32"/>
                <w:lang w:eastAsia="zh-CN"/>
              </w:rPr>
              <w:t>及</w:t>
            </w:r>
            <w:r>
              <w:rPr>
                <w:rFonts w:hint="eastAsia" w:ascii="仿宋" w:hAnsi="仿宋" w:eastAsia="仿宋"/>
                <w:sz w:val="32"/>
                <w:szCs w:val="32"/>
              </w:rPr>
              <w:t>批复提出的固废污染防治设施，</w:t>
            </w:r>
            <w:r>
              <w:rPr>
                <w:rFonts w:ascii="仿宋" w:hAnsi="仿宋" w:eastAsia="仿宋" w:cs="Times New Roman"/>
                <w:kern w:val="0"/>
                <w:sz w:val="32"/>
                <w:szCs w:val="32"/>
              </w:rPr>
              <w:t>环保手续齐全，</w:t>
            </w:r>
            <w:r>
              <w:rPr>
                <w:rFonts w:hint="eastAsia" w:ascii="仿宋" w:hAnsi="仿宋" w:eastAsia="仿宋"/>
                <w:sz w:val="32"/>
                <w:szCs w:val="32"/>
              </w:rPr>
              <w:t>原则同意项目</w:t>
            </w:r>
            <w:r>
              <w:rPr>
                <w:rFonts w:hint="eastAsia" w:ascii="仿宋" w:hAnsi="仿宋" w:eastAsia="仿宋"/>
                <w:sz w:val="32"/>
                <w:szCs w:val="32"/>
                <w:lang w:eastAsia="zh-CN"/>
              </w:rPr>
              <w:t>环保配套的</w:t>
            </w:r>
            <w:r>
              <w:rPr>
                <w:rFonts w:hint="eastAsia" w:ascii="仿宋" w:hAnsi="仿宋" w:eastAsia="仿宋"/>
                <w:sz w:val="32"/>
                <w:szCs w:val="32"/>
              </w:rPr>
              <w:t>固废污染防治设施</w:t>
            </w:r>
            <w:r>
              <w:rPr>
                <w:rFonts w:hint="eastAsia" w:ascii="仿宋" w:hAnsi="仿宋" w:eastAsia="仿宋"/>
                <w:sz w:val="32"/>
                <w:szCs w:val="32"/>
                <w:lang w:eastAsia="zh-CN"/>
              </w:rPr>
              <w:t>竣工验收</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val="0"/>
              <w:spacing w:line="312" w:lineRule="auto"/>
              <w:ind w:right="0" w:rightChars="0" w:firstLine="640" w:firstLineChars="200"/>
              <w:jc w:val="left"/>
              <w:textAlignment w:val="auto"/>
              <w:rPr>
                <w:rFonts w:ascii="仿宋" w:hAnsi="仿宋" w:eastAsia="仿宋"/>
                <w:sz w:val="32"/>
                <w:szCs w:val="32"/>
              </w:rPr>
            </w:pPr>
            <w:r>
              <w:rPr>
                <w:rFonts w:hint="eastAsia" w:ascii="仿宋" w:hAnsi="仿宋" w:eastAsia="仿宋"/>
                <w:sz w:val="32"/>
                <w:szCs w:val="32"/>
              </w:rPr>
              <w:t>四、项目投入运行后，你公司要做好以下工作：</w:t>
            </w:r>
          </w:p>
          <w:p>
            <w:pPr>
              <w:keepNext w:val="0"/>
              <w:keepLines w:val="0"/>
              <w:pageBreakBefore w:val="0"/>
              <w:widowControl w:val="0"/>
              <w:kinsoku/>
              <w:wordWrap/>
              <w:overflowPunct/>
              <w:topLinePunct w:val="0"/>
              <w:autoSpaceDE/>
              <w:autoSpaceDN/>
              <w:bidi w:val="0"/>
              <w:adjustRightInd/>
              <w:snapToGrid w:val="0"/>
              <w:spacing w:line="312" w:lineRule="auto"/>
              <w:ind w:left="1380" w:leftChars="200" w:right="0" w:rightChars="0" w:hanging="960" w:hangingChars="300"/>
              <w:jc w:val="left"/>
              <w:textAlignment w:val="auto"/>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cs="Times New Roman"/>
                <w:kern w:val="0"/>
                <w:sz w:val="32"/>
                <w:szCs w:val="32"/>
              </w:rPr>
              <w:t>加强</w:t>
            </w:r>
            <w:r>
              <w:rPr>
                <w:rFonts w:hint="eastAsia" w:ascii="仿宋" w:hAnsi="仿宋" w:eastAsia="仿宋"/>
                <w:sz w:val="32"/>
                <w:szCs w:val="32"/>
              </w:rPr>
              <w:t>固废</w:t>
            </w:r>
            <w:r>
              <w:rPr>
                <w:rFonts w:hint="eastAsia" w:ascii="仿宋" w:hAnsi="仿宋" w:eastAsia="仿宋" w:cs="Times New Roman"/>
                <w:kern w:val="0"/>
                <w:sz w:val="32"/>
                <w:szCs w:val="32"/>
              </w:rPr>
              <w:t>环境保护管理，</w:t>
            </w:r>
            <w:r>
              <w:rPr>
                <w:rFonts w:hint="eastAsia" w:ascii="仿宋" w:hAnsi="仿宋" w:eastAsia="仿宋"/>
                <w:sz w:val="32"/>
                <w:szCs w:val="32"/>
              </w:rPr>
              <w:t>强化对</w:t>
            </w:r>
            <w:r>
              <w:rPr>
                <w:rFonts w:hint="eastAsia" w:ascii="仿宋" w:hAnsi="仿宋" w:eastAsia="仿宋"/>
                <w:sz w:val="32"/>
                <w:szCs w:val="32"/>
                <w:lang w:eastAsia="zh-CN"/>
              </w:rPr>
              <w:t>污染治理</w:t>
            </w:r>
            <w:r>
              <w:rPr>
                <w:rFonts w:hint="eastAsia" w:ascii="仿宋" w:hAnsi="仿宋" w:eastAsia="仿宋"/>
                <w:sz w:val="32"/>
                <w:szCs w:val="32"/>
              </w:rPr>
              <w:t>设施的运</w:t>
            </w:r>
          </w:p>
          <w:p>
            <w:pPr>
              <w:keepNext w:val="0"/>
              <w:keepLines w:val="0"/>
              <w:pageBreakBefore w:val="0"/>
              <w:widowControl w:val="0"/>
              <w:kinsoku/>
              <w:wordWrap/>
              <w:overflowPunct/>
              <w:topLinePunct w:val="0"/>
              <w:autoSpaceDE/>
              <w:autoSpaceDN/>
              <w:bidi w:val="0"/>
              <w:adjustRightInd/>
              <w:snapToGrid w:val="0"/>
              <w:spacing w:line="312" w:lineRule="auto"/>
              <w:ind w:right="0" w:rightChars="0"/>
              <w:jc w:val="left"/>
              <w:textAlignment w:val="auto"/>
              <w:rPr>
                <w:rFonts w:hint="eastAsia" w:ascii="仿宋" w:hAnsi="仿宋" w:eastAsia="仿宋"/>
                <w:sz w:val="32"/>
                <w:szCs w:val="32"/>
              </w:rPr>
            </w:pPr>
            <w:r>
              <w:rPr>
                <w:rFonts w:hint="eastAsia" w:ascii="仿宋" w:hAnsi="仿宋" w:eastAsia="仿宋"/>
                <w:sz w:val="32"/>
                <w:szCs w:val="32"/>
              </w:rPr>
              <w:t>行维护，落实长效管理机制。</w:t>
            </w:r>
          </w:p>
          <w:p>
            <w:pPr>
              <w:pStyle w:val="2"/>
              <w:numPr>
                <w:numId w:val="0"/>
              </w:numPr>
              <w:ind w:left="480" w:leftChars="0"/>
              <w:rPr>
                <w:rFonts w:hint="eastAsia" w:eastAsia="仿宋"/>
                <w:lang w:eastAsia="zh-CN"/>
              </w:rPr>
            </w:pPr>
            <w:r>
              <w:rPr>
                <w:rFonts w:hint="eastAsia" w:ascii="仿宋" w:hAnsi="仿宋" w:eastAsia="仿宋"/>
                <w:sz w:val="32"/>
                <w:szCs w:val="32"/>
                <w:lang w:eastAsia="zh-CN"/>
              </w:rPr>
              <w:t>（二）根据矿区今后开采实际情况，及时完善矿区内泥砂</w:t>
            </w:r>
          </w:p>
          <w:p>
            <w:pPr>
              <w:pStyle w:val="2"/>
              <w:numPr>
                <w:numId w:val="0"/>
              </w:numPr>
              <w:rPr>
                <w:rFonts w:hint="eastAsia" w:eastAsia="仿宋"/>
                <w:lang w:eastAsia="zh-CN"/>
              </w:rPr>
            </w:pPr>
            <w:r>
              <w:rPr>
                <w:rFonts w:hint="eastAsia" w:ascii="仿宋" w:hAnsi="仿宋" w:eastAsia="仿宋"/>
                <w:sz w:val="32"/>
                <w:szCs w:val="32"/>
                <w:lang w:eastAsia="zh-CN"/>
              </w:rPr>
              <w:t>沉淀设施。</w:t>
            </w:r>
          </w:p>
          <w:p>
            <w:pPr>
              <w:keepNext w:val="0"/>
              <w:keepLines w:val="0"/>
              <w:pageBreakBefore w:val="0"/>
              <w:widowControl w:val="0"/>
              <w:numPr>
                <w:numId w:val="0"/>
              </w:numPr>
              <w:kinsoku/>
              <w:wordWrap/>
              <w:overflowPunct/>
              <w:topLinePunct w:val="0"/>
              <w:autoSpaceDE/>
              <w:autoSpaceDN/>
              <w:bidi w:val="0"/>
              <w:adjustRightInd/>
              <w:snapToGrid w:val="0"/>
              <w:spacing w:line="312" w:lineRule="auto"/>
              <w:ind w:left="638" w:leftChars="0" w:right="0" w:rightChars="0"/>
              <w:jc w:val="left"/>
              <w:textAlignment w:val="auto"/>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加强环境风险防范，定期进行环境风险应急演练</w:t>
            </w:r>
          </w:p>
          <w:p>
            <w:pPr>
              <w:keepNext w:val="0"/>
              <w:keepLines w:val="0"/>
              <w:pageBreakBefore w:val="0"/>
              <w:widowControl w:val="0"/>
              <w:numPr>
                <w:numId w:val="0"/>
              </w:numPr>
              <w:kinsoku/>
              <w:wordWrap/>
              <w:overflowPunct/>
              <w:topLinePunct w:val="0"/>
              <w:autoSpaceDE/>
              <w:autoSpaceDN/>
              <w:bidi w:val="0"/>
              <w:adjustRightInd/>
              <w:snapToGrid w:val="0"/>
              <w:spacing w:line="312" w:lineRule="auto"/>
              <w:ind w:right="0" w:rightChars="0"/>
              <w:jc w:val="left"/>
              <w:textAlignment w:val="auto"/>
              <w:rPr>
                <w:rFonts w:hint="eastAsia" w:ascii="仿宋" w:hAnsi="仿宋" w:eastAsia="仿宋"/>
                <w:sz w:val="32"/>
                <w:szCs w:val="32"/>
              </w:rPr>
            </w:pPr>
            <w:r>
              <w:rPr>
                <w:rFonts w:hint="eastAsia" w:ascii="仿宋" w:hAnsi="仿宋" w:eastAsia="仿宋"/>
                <w:sz w:val="32"/>
                <w:szCs w:val="32"/>
              </w:rPr>
              <w:t>杜绝事故性排放。</w:t>
            </w:r>
          </w:p>
          <w:p>
            <w:pPr>
              <w:keepNext w:val="0"/>
              <w:keepLines w:val="0"/>
              <w:pageBreakBefore w:val="0"/>
              <w:widowControl w:val="0"/>
              <w:kinsoku/>
              <w:wordWrap/>
              <w:overflowPunct/>
              <w:topLinePunct w:val="0"/>
              <w:autoSpaceDE/>
              <w:autoSpaceDN/>
              <w:bidi w:val="0"/>
              <w:adjustRightInd/>
              <w:snapToGrid w:val="0"/>
              <w:spacing w:line="312" w:lineRule="auto"/>
              <w:ind w:left="1260" w:leftChars="200" w:right="0" w:rightChars="0" w:hanging="840" w:hangingChars="300"/>
              <w:jc w:val="lef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430" w:type="dxa"/>
            <w:vAlign w:val="center"/>
          </w:tcPr>
          <w:p>
            <w:pPr>
              <w:jc w:val="center"/>
              <w:rPr>
                <w:rFonts w:ascii="仿宋" w:hAnsi="仿宋" w:eastAsia="仿宋"/>
                <w:sz w:val="28"/>
                <w:szCs w:val="28"/>
              </w:rPr>
            </w:pPr>
            <w:r>
              <w:rPr>
                <w:rFonts w:hint="eastAsia" w:ascii="仿宋" w:hAnsi="仿宋" w:eastAsia="仿宋"/>
                <w:sz w:val="28"/>
                <w:szCs w:val="28"/>
              </w:rPr>
              <w:t>抄送</w:t>
            </w:r>
          </w:p>
        </w:tc>
        <w:tc>
          <w:tcPr>
            <w:tcW w:w="7155" w:type="dxa"/>
            <w:vAlign w:val="center"/>
          </w:tcPr>
          <w:p>
            <w:pPr>
              <w:rPr>
                <w:rFonts w:ascii="仿宋" w:hAnsi="仿宋" w:eastAsia="仿宋"/>
                <w:sz w:val="28"/>
                <w:szCs w:val="28"/>
              </w:rPr>
            </w:pPr>
          </w:p>
        </w:tc>
      </w:tr>
    </w:tbl>
    <w:p>
      <w:pPr>
        <w:ind w:right="420" w:firstLine="5880" w:firstLineChars="2450"/>
        <w:jc w:val="left"/>
      </w:pPr>
      <w:r>
        <w:rPr>
          <w:rFonts w:hint="eastAsia" w:ascii="宋体" w:hAnsi="宋体" w:eastAsia="宋体"/>
          <w:sz w:val="24"/>
          <w:szCs w:val="24"/>
        </w:rPr>
        <w:t>201</w:t>
      </w:r>
      <w:r>
        <w:rPr>
          <w:rFonts w:hint="eastAsia" w:ascii="宋体" w:hAnsi="宋体" w:eastAsia="宋体"/>
          <w:sz w:val="24"/>
          <w:szCs w:val="24"/>
          <w:lang w:val="en-US" w:eastAsia="zh-CN"/>
        </w:rPr>
        <w:t>9</w:t>
      </w:r>
      <w:r>
        <w:rPr>
          <w:rFonts w:hint="eastAsia" w:ascii="宋体" w:hAnsi="宋体" w:eastAsia="宋体"/>
          <w:sz w:val="24"/>
          <w:szCs w:val="24"/>
        </w:rPr>
        <w:t>年</w:t>
      </w:r>
      <w:r>
        <w:rPr>
          <w:rFonts w:hint="eastAsia" w:ascii="宋体" w:hAnsi="宋体" w:eastAsia="宋体"/>
          <w:sz w:val="24"/>
          <w:szCs w:val="24"/>
          <w:lang w:val="en-US" w:eastAsia="zh-CN"/>
        </w:rPr>
        <w:t>10</w:t>
      </w:r>
      <w:r>
        <w:rPr>
          <w:rFonts w:hint="eastAsia" w:ascii="宋体" w:hAnsi="宋体" w:eastAsia="宋体"/>
          <w:sz w:val="24"/>
          <w:szCs w:val="24"/>
        </w:rPr>
        <w:t>月</w:t>
      </w:r>
      <w:r>
        <w:rPr>
          <w:rFonts w:hint="eastAsia" w:ascii="宋体" w:hAnsi="宋体" w:eastAsia="宋体"/>
          <w:sz w:val="24"/>
          <w:szCs w:val="24"/>
          <w:lang w:val="en-US" w:eastAsia="zh-CN"/>
        </w:rPr>
        <w:t>9</w:t>
      </w:r>
      <w:bookmarkStart w:id="0" w:name="_GoBack"/>
      <w:bookmarkEnd w:id="0"/>
      <w:r>
        <w:rPr>
          <w:rFonts w:hint="eastAsia" w:ascii="宋体" w:hAnsi="宋体" w:eastAsia="宋体"/>
          <w:sz w:val="24"/>
          <w:szCs w:val="24"/>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ST Song">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Osaka">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LF Song">
    <w:altName w:val="宋体"/>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文鼎中楷">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94461"/>
    </w:sdtPr>
    <w:sdtContent>
      <w:sdt>
        <w:sdtPr>
          <w:id w:val="171357283"/>
        </w:sdtPr>
        <w:sdtContent>
          <w:p>
            <w:pPr>
              <w:pStyle w:val="5"/>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FD8E"/>
    <w:multiLevelType w:val="singleLevel"/>
    <w:tmpl w:val="5A77FD8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21"/>
    <w:rsid w:val="0001571B"/>
    <w:rsid w:val="000217E1"/>
    <w:rsid w:val="0003164B"/>
    <w:rsid w:val="00042F19"/>
    <w:rsid w:val="000516D1"/>
    <w:rsid w:val="000626B6"/>
    <w:rsid w:val="0007132C"/>
    <w:rsid w:val="0008443F"/>
    <w:rsid w:val="000923B7"/>
    <w:rsid w:val="000A215C"/>
    <w:rsid w:val="000B2796"/>
    <w:rsid w:val="000B287A"/>
    <w:rsid w:val="000B36C1"/>
    <w:rsid w:val="000C19C2"/>
    <w:rsid w:val="00100A82"/>
    <w:rsid w:val="00112D33"/>
    <w:rsid w:val="00115B7E"/>
    <w:rsid w:val="001217D4"/>
    <w:rsid w:val="001371A2"/>
    <w:rsid w:val="00140B45"/>
    <w:rsid w:val="00153305"/>
    <w:rsid w:val="0016265B"/>
    <w:rsid w:val="00173B40"/>
    <w:rsid w:val="00181A36"/>
    <w:rsid w:val="0019009A"/>
    <w:rsid w:val="001944E3"/>
    <w:rsid w:val="0019457B"/>
    <w:rsid w:val="00197071"/>
    <w:rsid w:val="001A2343"/>
    <w:rsid w:val="001A3378"/>
    <w:rsid w:val="001D01B7"/>
    <w:rsid w:val="001D5390"/>
    <w:rsid w:val="001E134A"/>
    <w:rsid w:val="001E1BD9"/>
    <w:rsid w:val="001E6625"/>
    <w:rsid w:val="00202D57"/>
    <w:rsid w:val="002035D6"/>
    <w:rsid w:val="00205AC8"/>
    <w:rsid w:val="0020799F"/>
    <w:rsid w:val="002128F7"/>
    <w:rsid w:val="00215F1F"/>
    <w:rsid w:val="00216A97"/>
    <w:rsid w:val="00216EB8"/>
    <w:rsid w:val="00227CA5"/>
    <w:rsid w:val="00233421"/>
    <w:rsid w:val="002474CB"/>
    <w:rsid w:val="00247881"/>
    <w:rsid w:val="00250914"/>
    <w:rsid w:val="00254892"/>
    <w:rsid w:val="00255387"/>
    <w:rsid w:val="00273405"/>
    <w:rsid w:val="002746B1"/>
    <w:rsid w:val="002746DC"/>
    <w:rsid w:val="00276104"/>
    <w:rsid w:val="002772EB"/>
    <w:rsid w:val="00281CB4"/>
    <w:rsid w:val="002844CB"/>
    <w:rsid w:val="00296A03"/>
    <w:rsid w:val="002B3BE1"/>
    <w:rsid w:val="002B45BA"/>
    <w:rsid w:val="002C1DB5"/>
    <w:rsid w:val="002C1F72"/>
    <w:rsid w:val="002D668C"/>
    <w:rsid w:val="002D70F1"/>
    <w:rsid w:val="002E0B6E"/>
    <w:rsid w:val="002E1A03"/>
    <w:rsid w:val="002F1F9D"/>
    <w:rsid w:val="002F43EB"/>
    <w:rsid w:val="002F4E8F"/>
    <w:rsid w:val="002F69AA"/>
    <w:rsid w:val="00302967"/>
    <w:rsid w:val="0030432D"/>
    <w:rsid w:val="003047F5"/>
    <w:rsid w:val="003054C8"/>
    <w:rsid w:val="00314821"/>
    <w:rsid w:val="00315776"/>
    <w:rsid w:val="00315B08"/>
    <w:rsid w:val="00315F42"/>
    <w:rsid w:val="003203BC"/>
    <w:rsid w:val="0034116F"/>
    <w:rsid w:val="00341C66"/>
    <w:rsid w:val="00345827"/>
    <w:rsid w:val="00346D9B"/>
    <w:rsid w:val="0035794B"/>
    <w:rsid w:val="003607A3"/>
    <w:rsid w:val="00362517"/>
    <w:rsid w:val="00372613"/>
    <w:rsid w:val="00380BF0"/>
    <w:rsid w:val="003831E5"/>
    <w:rsid w:val="00396F33"/>
    <w:rsid w:val="003B321C"/>
    <w:rsid w:val="003B3717"/>
    <w:rsid w:val="003B7010"/>
    <w:rsid w:val="003C3F51"/>
    <w:rsid w:val="003D310D"/>
    <w:rsid w:val="003E324F"/>
    <w:rsid w:val="003F3C6D"/>
    <w:rsid w:val="003F3FD8"/>
    <w:rsid w:val="003F59FE"/>
    <w:rsid w:val="003F623F"/>
    <w:rsid w:val="003F786E"/>
    <w:rsid w:val="0041774F"/>
    <w:rsid w:val="00430F4E"/>
    <w:rsid w:val="00431B54"/>
    <w:rsid w:val="00433CC6"/>
    <w:rsid w:val="00437EB8"/>
    <w:rsid w:val="004420C0"/>
    <w:rsid w:val="00443A63"/>
    <w:rsid w:val="00451A97"/>
    <w:rsid w:val="00453FA6"/>
    <w:rsid w:val="0045496C"/>
    <w:rsid w:val="004624AA"/>
    <w:rsid w:val="0046454E"/>
    <w:rsid w:val="00471822"/>
    <w:rsid w:val="004747ED"/>
    <w:rsid w:val="0047641B"/>
    <w:rsid w:val="00481B4D"/>
    <w:rsid w:val="00483D41"/>
    <w:rsid w:val="004875FA"/>
    <w:rsid w:val="00497906"/>
    <w:rsid w:val="004A3B20"/>
    <w:rsid w:val="004B6DDB"/>
    <w:rsid w:val="004B7D33"/>
    <w:rsid w:val="004C0CE0"/>
    <w:rsid w:val="004C1451"/>
    <w:rsid w:val="004D2062"/>
    <w:rsid w:val="004E309A"/>
    <w:rsid w:val="005137C3"/>
    <w:rsid w:val="00522387"/>
    <w:rsid w:val="00530BFE"/>
    <w:rsid w:val="0053760F"/>
    <w:rsid w:val="00537C22"/>
    <w:rsid w:val="00540D86"/>
    <w:rsid w:val="00543306"/>
    <w:rsid w:val="005553CC"/>
    <w:rsid w:val="00562680"/>
    <w:rsid w:val="0056449D"/>
    <w:rsid w:val="00573A88"/>
    <w:rsid w:val="00575CB1"/>
    <w:rsid w:val="00583E3C"/>
    <w:rsid w:val="00590FAE"/>
    <w:rsid w:val="005912FB"/>
    <w:rsid w:val="005C3FB2"/>
    <w:rsid w:val="005D1CAF"/>
    <w:rsid w:val="005D4589"/>
    <w:rsid w:val="005E12B5"/>
    <w:rsid w:val="005E3E56"/>
    <w:rsid w:val="005E71F1"/>
    <w:rsid w:val="00604C39"/>
    <w:rsid w:val="0061573F"/>
    <w:rsid w:val="0062325E"/>
    <w:rsid w:val="006709B9"/>
    <w:rsid w:val="00676A46"/>
    <w:rsid w:val="00681D6E"/>
    <w:rsid w:val="00682435"/>
    <w:rsid w:val="00693499"/>
    <w:rsid w:val="006B27C7"/>
    <w:rsid w:val="006B6E53"/>
    <w:rsid w:val="006B7A39"/>
    <w:rsid w:val="006C09E9"/>
    <w:rsid w:val="006D017C"/>
    <w:rsid w:val="006D271F"/>
    <w:rsid w:val="006D4759"/>
    <w:rsid w:val="006D6C8D"/>
    <w:rsid w:val="006E674A"/>
    <w:rsid w:val="006E753C"/>
    <w:rsid w:val="006E7DD8"/>
    <w:rsid w:val="006F6FE8"/>
    <w:rsid w:val="00701A53"/>
    <w:rsid w:val="00701EB4"/>
    <w:rsid w:val="00707ABA"/>
    <w:rsid w:val="00715ED0"/>
    <w:rsid w:val="0071726A"/>
    <w:rsid w:val="00722A0E"/>
    <w:rsid w:val="00724F4B"/>
    <w:rsid w:val="007322EF"/>
    <w:rsid w:val="00732A30"/>
    <w:rsid w:val="0073757F"/>
    <w:rsid w:val="00752617"/>
    <w:rsid w:val="007569C9"/>
    <w:rsid w:val="00760400"/>
    <w:rsid w:val="00762608"/>
    <w:rsid w:val="00763FBC"/>
    <w:rsid w:val="007665FC"/>
    <w:rsid w:val="0077254A"/>
    <w:rsid w:val="007756E2"/>
    <w:rsid w:val="00775F98"/>
    <w:rsid w:val="0078273C"/>
    <w:rsid w:val="007A1460"/>
    <w:rsid w:val="007A41F6"/>
    <w:rsid w:val="007C0AB2"/>
    <w:rsid w:val="007D66D1"/>
    <w:rsid w:val="008001DD"/>
    <w:rsid w:val="00806E61"/>
    <w:rsid w:val="00826B52"/>
    <w:rsid w:val="00844FEA"/>
    <w:rsid w:val="0085325A"/>
    <w:rsid w:val="008609D0"/>
    <w:rsid w:val="00862278"/>
    <w:rsid w:val="008672E9"/>
    <w:rsid w:val="00892774"/>
    <w:rsid w:val="008A60EB"/>
    <w:rsid w:val="008A7297"/>
    <w:rsid w:val="008B4950"/>
    <w:rsid w:val="008C1699"/>
    <w:rsid w:val="008C468E"/>
    <w:rsid w:val="008E07B3"/>
    <w:rsid w:val="008E2F0D"/>
    <w:rsid w:val="008E73CE"/>
    <w:rsid w:val="008F7AB4"/>
    <w:rsid w:val="00911B1B"/>
    <w:rsid w:val="00925BD5"/>
    <w:rsid w:val="00927548"/>
    <w:rsid w:val="00933560"/>
    <w:rsid w:val="00935356"/>
    <w:rsid w:val="00953096"/>
    <w:rsid w:val="00953C15"/>
    <w:rsid w:val="00962DA0"/>
    <w:rsid w:val="009630B4"/>
    <w:rsid w:val="00966C47"/>
    <w:rsid w:val="00967563"/>
    <w:rsid w:val="00971494"/>
    <w:rsid w:val="00973225"/>
    <w:rsid w:val="00986881"/>
    <w:rsid w:val="009A3384"/>
    <w:rsid w:val="009A7A02"/>
    <w:rsid w:val="009A7CA9"/>
    <w:rsid w:val="009B3BD0"/>
    <w:rsid w:val="009B553D"/>
    <w:rsid w:val="009D5707"/>
    <w:rsid w:val="009E0BBB"/>
    <w:rsid w:val="009E7B33"/>
    <w:rsid w:val="009F4EF2"/>
    <w:rsid w:val="00A03788"/>
    <w:rsid w:val="00A06F2A"/>
    <w:rsid w:val="00A12DC8"/>
    <w:rsid w:val="00A21E04"/>
    <w:rsid w:val="00A26DE7"/>
    <w:rsid w:val="00A3269A"/>
    <w:rsid w:val="00A363DB"/>
    <w:rsid w:val="00A4001D"/>
    <w:rsid w:val="00A40F42"/>
    <w:rsid w:val="00A42081"/>
    <w:rsid w:val="00A43EB6"/>
    <w:rsid w:val="00A510E7"/>
    <w:rsid w:val="00A524C6"/>
    <w:rsid w:val="00A532A2"/>
    <w:rsid w:val="00A538BB"/>
    <w:rsid w:val="00A540AF"/>
    <w:rsid w:val="00A552C1"/>
    <w:rsid w:val="00A627A1"/>
    <w:rsid w:val="00A824FC"/>
    <w:rsid w:val="00A82A29"/>
    <w:rsid w:val="00A85482"/>
    <w:rsid w:val="00A87D5B"/>
    <w:rsid w:val="00A87DCF"/>
    <w:rsid w:val="00A915A8"/>
    <w:rsid w:val="00AA7913"/>
    <w:rsid w:val="00AC63A2"/>
    <w:rsid w:val="00AC67E3"/>
    <w:rsid w:val="00AC72A2"/>
    <w:rsid w:val="00AD2E46"/>
    <w:rsid w:val="00AE0F08"/>
    <w:rsid w:val="00AE7946"/>
    <w:rsid w:val="00AF2AA4"/>
    <w:rsid w:val="00B01219"/>
    <w:rsid w:val="00B0200A"/>
    <w:rsid w:val="00B12239"/>
    <w:rsid w:val="00B13DD7"/>
    <w:rsid w:val="00B142C7"/>
    <w:rsid w:val="00B17C88"/>
    <w:rsid w:val="00B23D7C"/>
    <w:rsid w:val="00B277D2"/>
    <w:rsid w:val="00B31933"/>
    <w:rsid w:val="00B336DF"/>
    <w:rsid w:val="00B3396C"/>
    <w:rsid w:val="00B379B5"/>
    <w:rsid w:val="00B37AC5"/>
    <w:rsid w:val="00B4290C"/>
    <w:rsid w:val="00B43006"/>
    <w:rsid w:val="00B47447"/>
    <w:rsid w:val="00B52231"/>
    <w:rsid w:val="00B52421"/>
    <w:rsid w:val="00B60468"/>
    <w:rsid w:val="00B6092D"/>
    <w:rsid w:val="00B71FBD"/>
    <w:rsid w:val="00B736CF"/>
    <w:rsid w:val="00B80BD9"/>
    <w:rsid w:val="00B81AAA"/>
    <w:rsid w:val="00B87DFA"/>
    <w:rsid w:val="00B92BCA"/>
    <w:rsid w:val="00B95130"/>
    <w:rsid w:val="00BA27D8"/>
    <w:rsid w:val="00BA6A50"/>
    <w:rsid w:val="00BC11DB"/>
    <w:rsid w:val="00BC137F"/>
    <w:rsid w:val="00BC78CF"/>
    <w:rsid w:val="00BD11BE"/>
    <w:rsid w:val="00BD1DA6"/>
    <w:rsid w:val="00BD2523"/>
    <w:rsid w:val="00BD665D"/>
    <w:rsid w:val="00BE19B6"/>
    <w:rsid w:val="00BF15FB"/>
    <w:rsid w:val="00BF4E5E"/>
    <w:rsid w:val="00C044EA"/>
    <w:rsid w:val="00C07DCE"/>
    <w:rsid w:val="00C11099"/>
    <w:rsid w:val="00C21B3C"/>
    <w:rsid w:val="00C2200E"/>
    <w:rsid w:val="00C31B2A"/>
    <w:rsid w:val="00C42D07"/>
    <w:rsid w:val="00C46118"/>
    <w:rsid w:val="00C5724A"/>
    <w:rsid w:val="00C5760F"/>
    <w:rsid w:val="00C61AB4"/>
    <w:rsid w:val="00C62C19"/>
    <w:rsid w:val="00C72699"/>
    <w:rsid w:val="00C932F3"/>
    <w:rsid w:val="00C93846"/>
    <w:rsid w:val="00C93BD5"/>
    <w:rsid w:val="00C96AED"/>
    <w:rsid w:val="00CA0012"/>
    <w:rsid w:val="00CC3376"/>
    <w:rsid w:val="00CC5056"/>
    <w:rsid w:val="00CC644C"/>
    <w:rsid w:val="00CD0572"/>
    <w:rsid w:val="00CF2D84"/>
    <w:rsid w:val="00CF63B8"/>
    <w:rsid w:val="00D0083F"/>
    <w:rsid w:val="00D1227E"/>
    <w:rsid w:val="00D3793B"/>
    <w:rsid w:val="00D47FBE"/>
    <w:rsid w:val="00D7464D"/>
    <w:rsid w:val="00D87B07"/>
    <w:rsid w:val="00D952C1"/>
    <w:rsid w:val="00DA2C2D"/>
    <w:rsid w:val="00DB704E"/>
    <w:rsid w:val="00DC5292"/>
    <w:rsid w:val="00DC5356"/>
    <w:rsid w:val="00DD0103"/>
    <w:rsid w:val="00DD3A90"/>
    <w:rsid w:val="00DD5274"/>
    <w:rsid w:val="00DD697B"/>
    <w:rsid w:val="00DF1049"/>
    <w:rsid w:val="00E00FF5"/>
    <w:rsid w:val="00E16799"/>
    <w:rsid w:val="00E16C45"/>
    <w:rsid w:val="00E20A05"/>
    <w:rsid w:val="00E241A3"/>
    <w:rsid w:val="00E32167"/>
    <w:rsid w:val="00E619F9"/>
    <w:rsid w:val="00E77349"/>
    <w:rsid w:val="00E77704"/>
    <w:rsid w:val="00E942DF"/>
    <w:rsid w:val="00E961F4"/>
    <w:rsid w:val="00E9666D"/>
    <w:rsid w:val="00EA0752"/>
    <w:rsid w:val="00EA678B"/>
    <w:rsid w:val="00EB20CA"/>
    <w:rsid w:val="00EC3CCF"/>
    <w:rsid w:val="00EC4DA0"/>
    <w:rsid w:val="00ED1348"/>
    <w:rsid w:val="00ED323D"/>
    <w:rsid w:val="00ED3ADD"/>
    <w:rsid w:val="00EE06FD"/>
    <w:rsid w:val="00EF3E93"/>
    <w:rsid w:val="00F064B6"/>
    <w:rsid w:val="00F11C46"/>
    <w:rsid w:val="00F21DB8"/>
    <w:rsid w:val="00F377DF"/>
    <w:rsid w:val="00F433EF"/>
    <w:rsid w:val="00F457E7"/>
    <w:rsid w:val="00F81256"/>
    <w:rsid w:val="00F82CBC"/>
    <w:rsid w:val="00F94AF6"/>
    <w:rsid w:val="00F94C01"/>
    <w:rsid w:val="00F95E9E"/>
    <w:rsid w:val="00F962E0"/>
    <w:rsid w:val="00FA1F74"/>
    <w:rsid w:val="00FA6FED"/>
    <w:rsid w:val="00FB08A0"/>
    <w:rsid w:val="00FB13E3"/>
    <w:rsid w:val="00FC02AE"/>
    <w:rsid w:val="00FC1EC5"/>
    <w:rsid w:val="00FC267B"/>
    <w:rsid w:val="00FC649E"/>
    <w:rsid w:val="00FD2CC9"/>
    <w:rsid w:val="00FD67E0"/>
    <w:rsid w:val="00FE31D6"/>
    <w:rsid w:val="00FE4844"/>
    <w:rsid w:val="00FE593B"/>
    <w:rsid w:val="00FE655E"/>
    <w:rsid w:val="00FF326F"/>
    <w:rsid w:val="01CB683C"/>
    <w:rsid w:val="02550319"/>
    <w:rsid w:val="094F68FA"/>
    <w:rsid w:val="0C104A33"/>
    <w:rsid w:val="0CDC196C"/>
    <w:rsid w:val="0D8D3E20"/>
    <w:rsid w:val="0DFC40D9"/>
    <w:rsid w:val="0F560F0F"/>
    <w:rsid w:val="12CB4E81"/>
    <w:rsid w:val="13312C07"/>
    <w:rsid w:val="189659C4"/>
    <w:rsid w:val="18B15C0F"/>
    <w:rsid w:val="18EE3D84"/>
    <w:rsid w:val="1CF73A35"/>
    <w:rsid w:val="1CFC03A1"/>
    <w:rsid w:val="1FF94C86"/>
    <w:rsid w:val="2143649F"/>
    <w:rsid w:val="29990ED0"/>
    <w:rsid w:val="2CDA3884"/>
    <w:rsid w:val="2E155966"/>
    <w:rsid w:val="30D32D51"/>
    <w:rsid w:val="333F4502"/>
    <w:rsid w:val="33D92181"/>
    <w:rsid w:val="374337E9"/>
    <w:rsid w:val="43EF0BDE"/>
    <w:rsid w:val="4E9E5646"/>
    <w:rsid w:val="4F173605"/>
    <w:rsid w:val="55D346F5"/>
    <w:rsid w:val="56CE05C3"/>
    <w:rsid w:val="57B95E88"/>
    <w:rsid w:val="57DE069D"/>
    <w:rsid w:val="5988182F"/>
    <w:rsid w:val="5C131A28"/>
    <w:rsid w:val="61AB4B8A"/>
    <w:rsid w:val="6257061A"/>
    <w:rsid w:val="69726035"/>
    <w:rsid w:val="6C8048F6"/>
    <w:rsid w:val="708D55E6"/>
    <w:rsid w:val="711A7ACE"/>
    <w:rsid w:val="7D32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left="480" w:firstLine="0" w:firstLineChars="0"/>
    </w:pPr>
  </w:style>
  <w:style w:type="paragraph" w:styleId="3">
    <w:name w:val="Body Text Indent"/>
    <w:basedOn w:val="1"/>
    <w:unhideWhenUsed/>
    <w:uiPriority w:val="99"/>
    <w:pPr>
      <w:spacing w:line="400" w:lineRule="atLeast"/>
      <w:ind w:firstLine="570"/>
    </w:pPr>
    <w:rPr>
      <w:rFonts w:ascii="楷体_GB2312" w:hAnsi="Times New Roman" w:eastAsia="楷体_GB2312" w:cs="Times New Roman"/>
      <w:sz w:val="24"/>
      <w:szCs w:val="20"/>
    </w:rPr>
  </w:style>
  <w:style w:type="paragraph" w:styleId="4">
    <w:name w:val="Balloon Text"/>
    <w:basedOn w:val="1"/>
    <w:link w:val="10"/>
    <w:unhideWhenUsed/>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7"/>
    <w:link w:val="4"/>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paragraph" w:customStyle="1" w:styleId="14">
    <w:name w:val="No Spacing"/>
    <w:link w:val="15"/>
    <w:qFormat/>
    <w:uiPriority w:val="1"/>
    <w:rPr>
      <w:rFonts w:asciiTheme="minorHAnsi" w:hAnsiTheme="minorHAnsi" w:eastAsiaTheme="minorEastAsia" w:cstheme="minorBidi"/>
      <w:kern w:val="0"/>
      <w:sz w:val="22"/>
      <w:szCs w:val="22"/>
      <w:lang w:val="en-US" w:eastAsia="zh-CN" w:bidi="ar-SA"/>
    </w:rPr>
  </w:style>
  <w:style w:type="character" w:customStyle="1" w:styleId="15">
    <w:name w:val="无间隔 Char"/>
    <w:basedOn w:val="7"/>
    <w:link w:val="14"/>
    <w:qFormat/>
    <w:uiPriority w:val="1"/>
    <w:rPr>
      <w:kern w:val="0"/>
      <w:sz w:val="22"/>
    </w:rPr>
  </w:style>
  <w:style w:type="character" w:customStyle="1" w:styleId="16">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080AE-1ED4-465B-A465-6472890ADD4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276</Words>
  <Characters>1576</Characters>
  <Lines>13</Lines>
  <Paragraphs>3</Paragraphs>
  <TotalTime>6</TotalTime>
  <ScaleCrop>false</ScaleCrop>
  <LinksUpToDate>false</LinksUpToDate>
  <CharactersWithSpaces>1849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2014-12-18T06:05:00Z</dcterms:created>
  <dc:creator>Administrator</dc:creator>
  <cp:lastModifiedBy>项杨</cp:lastModifiedBy>
  <cp:lastPrinted>2018-02-22T07:48:00Z</cp:lastPrinted>
  <dcterms:modified xsi:type="dcterms:W3CDTF">2019-10-14T03:10:33Z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